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RR.2022.46 vom 18. Mai 2022</w:t>
      </w:r>
    </w:p>
    <w:p>
      <w:r>
        <w:t>Bundesstrafgericht, 2022-05-18, IT</w:t>
      </w:r>
    </w:p>
    <w:p>
      <w:r>
        <w:rPr>
          <w:b/>
        </w:rPr>
        <w:t xml:space="preserve">Quelle: </w:t>
      </w:r>
      <w:r>
        <w:t>https://mcp.opencaselaw.ch/entscheid/bstger_RR.2022.46</w:t>
      </w:r>
    </w:p>
    <w:p>
      <w:r>
        <w:t>FR: TPF RR.2022.46 du 18 mai 2022</w:t>
      </w:r>
    </w:p>
    <w:p>
      <w:r>
        <w:t>IT: TPF RR.2022.46 del 18 maggio 2022</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Alle questioni che il prevalente diritto internazionale contenuto in detti trattati non regola espressamente o implicitamente, come pure quando il diritto nazionale sia più favorevole all'assistenza rispetto a quello pattizio (cosiddetto principio di favore), si applica la legge sull'assistenza in ma- teria penale, unitamente alla relativa ordinanza (OAIMP; RS 351.11; v. art. 1 cpv. 1 AIMP, art. I n. 2 Accordo italo-svizzero; DTF 145 IV 294 consid. 2.1; 142 IV 250 consid. 3; 140 IV 123 consid. 2; 137 IV 33 consid. 2.2.2; 136 IV 82 con- sid. 3.1). Il principio di favore vale anche nell'applicazione delle pertinenti norme di diritto internazionale (v. art. 48 n. 2 CAS,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t>- 5 -</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 Titolare della relazione bancaria oggetto della decisione impugnata, la ricor- rente è legittimata a ricorrere (v. art. 80h lett. b AIMP e art. 9a lett. a OAIMP nonché DTF 137 IV 134 consid. 5.2.1; 130 II 162 consid. 1.1; 128 II 211 consid. 2.3; TPF 2007 79 consid. 1.6 pag. 82).</w:t>
      </w:r>
    </w:p>
    <w:p>
      <w:r>
        <w:rPr>
          <w:b/>
        </w:rPr>
        <w:t>E. 2</w:t>
      </w:r>
    </w:p>
    <w:p>
      <w:r>
        <w:t>La ricorrente censura la violazione del suo diritto di essere sentita, nella misura in cui il MP-TI non gli avrebbe concesso il tempo necessario per fornire la do- cumentazione, ora prodotta con il ricorso, che avrebbe dimostrato la sua estra- neità ai fatti oggetto dell’inchiesta estera, né l’autorità d’esecuzione avrebbe proceduto, come richiesto, all’interrogatorio dell’amministratore J., emanando in maniera affrettata la decisione impugnata.</w:t>
      </w:r>
    </w:p>
    <w:p>
      <w:r>
        <w:rPr>
          <w:b/>
        </w:rPr>
        <w:t>E. 2.1.1</w:t>
      </w:r>
    </w:p>
    <w:p>
      <w:r>
        <w:t>Il diritto di essere sentito viene concretizzato nell'ambito dell'assistenza giudi- ziaria internazionale agli art. 29 e segg. PA richiamato l'art. 12 cpv. 1 AIMP (ZIMMERMANN, La coopération judiciaire internationale en matière pénale, 5a ediz. 2019, n. 472). Esso contempla la facoltà per l'interessato, tra l'altro, di prendere conoscenza del fascicolo processuale, di esprimersi sugli elementi pertinenti prima che una decisione relativa alla sua situazione giuridica sia resa, di presentare prove pertinenti, di ottenere che sia dato seguito alle sue offerte di prove pertinenti, di partecipare all'assunzione delle prove essenziali o, perlo- meno, di esprimersi sul loro risultato allorquando ciò può avere un influsso sulla decisione che verrà resa (DTF 135 II 287 consid. 5.1; 132 II 485 consid. 3.2; 129 II 497 consid. 2.2; 124 II 132 consid. 2b e riferimenti citati), ma non garan- tisce di per sé stesso il diritto di esprimersi oralmente (DTF 125 I 209 consid. 9b). L'autorità può rinunciare a misure istruttorie quando le prove amministrate le hanno permesso di formare il suo convincimento e quando, procedendo a una valutazione anticipata delle prove che le sono ancora proposte, essa è certa che queste non potrebbero portarla a cambiare la sua opinione (DTF 130 II 425 consid. 2.1; 125 I 127 consid. 6c/cc in fine; 124 I 208 consid. 4a con rinvii). Secondo la giurisprudenza, l'autorità di esecuzione, dopo aver concesso al de- tentore della documentazione la possibilità di addurre i motivi che si opporreb- bero alla trasmissione di determinati atti e la facoltà di partecipare alla neces- saria cernita, ha l'obbligo di motivare accuratamente la decisione di chiusura (DTF 130 II 14 consid. 4.4 pag. 18). Essa non potrebbe infatti ordinare in modo acritico e indeterminato la trasmissione dei documenti, delegandone tout court</w:t>
      </w:r>
    </w:p>
    <w:p>
      <w:r>
        <w:t>- 6 -</w:t>
      </w:r>
    </w:p>
    <w:p>
      <w:r>
        <w:t>la selezione agli inquirenti esteri (DTF 127 II 151 consid. 4c/aa pag. 155; 122 II 367 consid. 2c; 112 Ib 576 consid. 14a pag. 604). Questo compito spetta all'au- torità svizzera d'esecuzione che, in assenza di un eventuale consenso all'ese- cuzione semplificata (art. 80c AIMP), prima di emanare una decisione di chiu- sura, deve impartire alle persone toccate giusta l'art. 80h lett. b AIMP e art. 9a OAIMP un termine per addurre riguardo ad ogni singolo documento gli argo- menti che secondo loro si opporrebbero alla consegna. Questo affinché esse possano esercitare in maniera concreta ed effettiva il loro diritto di essere sen- tite (v. art. 30 cpv. 1 PA richiamato l'art. 39 cpv. 2 lett. b LOAP), secondo mo- dalità di collaborazione comunque rispettose del principio della buona fede (art.</w:t>
      </w:r>
    </w:p>
    <w:p>
      <w:r>
        <w:rPr>
          <w:b/>
        </w:rPr>
        <w:t>E. 2.1.2</w:t>
      </w:r>
    </w:p>
    <w:p>
      <w:r>
        <w:t>Il diritto di essere sentito è di natura formale (DTF 126 I 19 consid. 2d/bb pag. 24; 125 I 113 consid. 3; ALBERTINI, Der verfassungsmässige Anspruch auf rechtliches Gehör im Verwaltungsverfahren des modernen Staates, 2000, pag. 449 con rinvii). Una violazione di questo diritto fondamentale da parte dell'auto- rità d'esecuzione non comporta comunque automaticamente l'accoglimento del gravame e l'annullamento della decisione impugnata. Secondo la giurispru- denza e la dottrina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d'esecuzione stessa (v. DTF 124 II 132 consid. 2d; sentenze del Tribunale fe- derale 1C_525/2008 e 1C_526/2008 del 28 novembre 2008 consid. 1.3 nonché 1A.54/2004 del 30 aprile 2004; TPF 2008 172 consid. 2.3; ZIMMERMANN, op. cit., n. 472). Anche in presenza di una violazione grave del diritto di essere sentito, il Tribunale federale ha già ritenuto ammissibile prescindere da un rinvio all'au- torità inferiore allorquando questo costituirebbe una mera formalità, provocando un ritardo inutile nella procedura, incompatibile con l'interesse della parte inte- ressata ad un'evasione celere della sua causa (DTF 137 I 195 consid. 2.3.2; 133 I 201 consid. 2.2). La riparazione del vizio deve tuttavia, segnatamente in presenza di violazioni particolarmente gravi, rimanere l'eccezione, non fosse altro perché la concessione successiva del diritto di essere sentito costituisce sovente solo un surrogato imperfetto dell'omessa audizione preventiva. La pos- sibilità della sanatoria, che tiene conto della necessità di un'esecuzione celere della domanda rogatoriale giusta l'art. 17a AIMP e dell'economia procedurale, non deve inoltre essere interpretata dall'autorità d'esecuzione come un invito a violare i diritti processuali della persona toccata (sentenza del Tribunale fede- rale 1C_560/2011 del 20 dicembre 2011 consid. 2.2). Una riparazione entra in</w:t>
      </w:r>
    </w:p>
    <w:p>
      <w:r>
        <w:t>- 7 -</w:t>
      </w:r>
    </w:p>
    <w:p>
      <w:r>
        <w:t>linea di considerazione solo se la persona interessata non abbia a subire pre- giudizio dalla concessione successiva del diritto di essere sentito, rispettiva- mente dalla sanatoria (DTF 129 I 129 consid. 2.2.3). In nessun caso, comun- que, può essere ammesso che l'autorità pervenga attraverso una violazione del diritto di essere sentito ad un risultato che non avrebbe mai ottenuto proce- dendo in modo corretto (DTF 135 I 279 consid. 2.6.1).</w:t>
      </w:r>
    </w:p>
    <w:p>
      <w:r>
        <w:rPr>
          <w:b/>
        </w:rPr>
        <w:t>E. 2.2</w:t>
      </w:r>
    </w:p>
    <w:p>
      <w:r>
        <w:t>In concreto, per quanto riguarda le richieste, da una parte, di ottenere una pro- roga di venti giorni per l’allestimento di documentazione rilevante per la sua difesa e, dall’altra, di essere sentita personalmente, attraverso i suoi organi, dall’autorità d’esecuzione, il MP-TI, nella decisione impugnata, ha affermato che “nel citato scritto 31 gennaio 2022 del suo patrocinatore, la A. SA chiede inoltre che i suoi organi e, segnatamente, l’amministratore della società, vengano in- terrogati dalla scrivente Autorità rogata, e ciò, a suo giudizio, al fine di compro- vare la totale estraneità della società ai fatti oggetto del procedimento penale italiano. In proposito, va premesso che, per costante giurisprudenza, il diritto di essere sentito sancito dall’art. 29 cpv. 2 Cost. comprende anche – pur valendo nella procedura amministrativa, di regola, il principio inquisitorio – la facoltà dell’interessato, tra l’altro, di offrire mezzi di prova su punti rilevanti (v. DTF 129 Il 497 consid. 2.2 e riferimenti), diritto che non impedisce all’Autorità competente di procedere a un apprezzamento anticipato delle prove richieste e di rinunciare ad assumerle, se è convinta che non possano condurla a modificare il suo giu- dizio. Nell’ambito della procedura penale, questa facoltà è sancita pure dall’art. 139 cpv. 2 CPP, per cui i fatti irrilevanti, manifesti, noti all’Autorità penale, op- pure già comprovati sotto il profilo giuridico non sono oggetto di prova. Il rifiuto di assumere una prova viola il diritto di essere sentito soltanto se la valutazione anticipata della sua rilevanza (o irrilevanza) è inficiata da arbitrio (DTF 141 I 60 consid. 3.3). Assodata la necessità per l’Autorità rogante (già soltanto per i mol- teplici accrediti sopra evidenziati e alla luce dei principi giurisprudenziali sopra richiamati) di analizzare tutte le operazioni avvenute sui conti oggetto della pre- sente decisione intestati alla A. SA, per verificare le operazioni oggetto d’inda- gine ed eventualmente individuare ulteriori operazioni sospette, non si vede in che misura l’audizione richiesta potrebbe modificare tale constatazione. Risul- tando dunque l’istanza probatoria irrilevante, e confondendo altresì la A. SA le competenze dell’Autorità rogata con quelle dell’Autorità rogante (v. sentenza del Tribunale penale federale RR.2010.180 del 21.10.2010 consid. 5 - 5.2 e rinvii), la richiesta va respinta, ritenuto inoltre che l’avente diritto non dispone di un diritto incondizionato di essere sentito personalmente, a maggior ragione quando è già stato invitato dall’Autorità di esecuzione ad esprimersi per iscritto (v. DTF 1A.62/2006 del 27.06.2006 consid. 3; TPF RR.2009.113 del 20.01.2020 consid. 4). Per gli stessi motivi e a fronte dei medesimi riscontri oggettivi, lo scrivente Ministero Pubblico ritiene altresì irrilevante attendere la documenta- zione prospettata dalla A. SA nel medesimo scritto 31 gennaio 2022 deI suo</w:t>
      </w:r>
    </w:p>
    <w:p>
      <w:r>
        <w:t>- 8 -</w:t>
      </w:r>
    </w:p>
    <w:p>
      <w:r>
        <w:t>legale (per la cui produzione al Ministero Pubblico, e per formulare ulteriori os- servazioni, chiede ulteriori venti giorni di tempo) che, a suo giudizio, servirebbe a comprovare la propria posizione e a dettagliare i motivi per i quali, a suo pa- rere, alla rogatoria non dev’essere dato seguito, non senza rilevare che la ri- chiesta di un (ulteriore) siffatto lungo termine si scontra con l’obbligo di celerità giusta l’ari. 17a AIMP, ritenuto che la società ha già avuto a disposizione oltre un mese per prendere posizione (v. AI 32 e Al 43), oltre al fatto che nello scritto 31 gennaio 2022 del suo patrocinatore essa ha già negato recisamente, inte- gralmente e in modo definitivo, il suo consenso all’esecuzione semplificata giu- sta l’art. 80c AIMP” (act. 1.2, pag. 19 e seg.).</w:t>
      </w:r>
    </w:p>
    <w:p>
      <w:r>
        <w:t>Questa Corte ritiene che il modo di procedere del MP-TI non presti il fianco a critiche. Innanzitutto, la ricorrente ha avuto tempo sufficiente per prendere po- sizione sulla documentazione litigiosa (v. atto 32 incarto MP-TI). Ricordata l’as- senza di ferie giudiziarie in ambito di assistenza giudiziaria internazionale (v. art. 12 cpv. 2 AIMP; DTF 109 Ib 174 consid. 1b; sentenza del Tribunale federale 1A.7/2004 del 19 gennaio 2004), le vacanze natalizie, contrariamente a quanto asserito dalla ricorrente, non possono costituire un ostacolo alla sollecita eva- sione delle rogatorie conformemente all’obbligo di celerità previsto all’art. 17a AIMP. Nemmeno la situazione pandemica legata al Covid-19 può costituire un motivo sufficiente per rallentare la procedura, tanto più che la ricorrente ha la sua sede in Svizzera, ciò che non rendeva eccessivamente complicato il recu- pero della documentazione societaria da parte del suo patrocinatore. Col suo gravame, l’insorgente si limita del resto ad invocare in maniera generica la pan- demia in questione, senza dimostrare che il suo patrocinatore e/o amministra- tore fossero in dicembre-gennaio 2022 bloccati da una quarantena o da un iso- lamento sanitario o da qualche altro motivo. Inoltre, alla luce delle operazioni avvenute sul conto della ricorrente, che hanno coinvolto anche società estere implicate nei fatti d’indagine, ogni altra informazione o documento che la ricor- rente avrebbe potuto trasmettere al MP-TI non avrebbe potuto modificare la decisione di quest’ultimo, il quale ha correttamente applicato la giurisprudenza in ambito di valutazione anticipata delle prove (v. act. 1.2, pag. 16 e segg.; infra consid. 3). Avendo in ogni caso la ricorrente potuto produrre la documentazione a suo dire rilevante per la sua difesa dinanzi a questa Corte, un'eventuale vio- lazione del suo diritto di essere sentita sarebbe stata comunque sanata dal pre- sente procedimento di ricorso dinanzi ad un'autorità dotata di un pieno potere cognitivo in fatto e in diritto (v. DTF 124 II 132 consid. 2d). Infine, essendo la procedura rogatoriale di principio scritta e avendo la ricorrente potuto esprimersi sufficientemente, sia dinanzi al MP-TI che di fronte a questa Corte, pure da disattendere è la domanda di audizione personale dell’amministratore J. o di L., dato che non si vede quali elementi probatori di rilievo avrebbero potuto o po- trebbero essere in tal modo apportati, ribadito in ogni caso che la ricorrente non dispone di un diritto di esprimersi oralmente dinanzi all’autorità (v. supra consid. 2.1.1). Le sue censure in questo ambito vanno dunque respinte.</w:t>
      </w:r>
    </w:p>
    <w:p>
      <w:r>
        <w:t>- 9 -</w:t>
      </w:r>
    </w:p>
    <w:p>
      <w:r>
        <w:t>3. Secondo l’insorgente, la decisione impugnata lederebbe il principio della pro- porzionalità, data la sua estraneità alle società, alle persone e ai fatti oggetto d’indagine in Italia. Per tacere del fatto che l’autorità rogante domanderebbe “dati e documenti bancari per informazioni di cui dimostra di essere già piena- mente a conoscenza e ciò rende del tutto superflua la domanda di assistenza e la sua evasione” (act. 1, pag. 9). Egli aggiunge che “non c’è collegamento al- cuno tra A. SA, i signori J. e K, rispetto agli indagati in Italia e alle altre società coinvolte, in specie le società bulgare. A. SA e i signori J. e K. non sono nem- meno indagati in Italia e il Procuratore italiano nemmeno fa trasparire l’inten- zione di indagare la società A. SA o i suoi organi, nemmeno programmatica- mente e ciò già sapendo i dettagli delle movimentazioni di denaro” (ibidem). In definitiva, la cooperazione sarebbe da rifiutare, in quanto gli atti richiesti sareb- bero estranei ai reati perseguiti e manifestamente inidonei a far progredire le indagini.</w:t>
      </w:r>
    </w:p>
    <w:p>
      <w:r>
        <w:t>3.1 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implicate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w:t>
      </w:r>
    </w:p>
    <w:p>
      <w:r>
        <w:t>- 10 -</w:t>
      </w:r>
    </w:p>
    <w:p>
      <w:r>
        <w:t>tutte le transazioni effettuate attraverso i conti coinvolti. L’autorità richiedente ha un interesse ad essere informata di qualsiasi transazione che possa far parte del meccanismo delittuoso messo in atto dalle persone sotto inchiesta (sen- tenza del Tribunale penale federale RR.2014.4 del 30 luglio 2014 consid. 2.2.2). Naturalmente è anche possibile che i conti in questione non siano stati utilizzati per ricevere proventi di reati o per effettuare trasferimenti illeciti,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 sid. 4.2). La trasmissione dell'intera documentazione potrà evitare altresì che le autorità debbano inoltrare eventuali domande complementari (DTF 136 IV 82 consid.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 derale RR.2010.173 del 13 ottobre 2010 consid. 4.2.4/a e RR.2009.320 del 2 febbraio 2010 consid. 4.1; ZIMMERMANN, op. cit., n. 723, pag. 798 e seg.).</w:t>
      </w:r>
    </w:p>
    <w:p>
      <w:r>
        <w:t>3.2 Nella decisione impugnata, il MP-TI ha rilevato che “sul conto (in valuta CHF) n. 1 (nuova numerazione: n. 2) intestata alla società A. SA presso la banca H. risulta affluito denaro sospettato di costituire provento dei reati per i quali l’Au- torità rogante procede nei confronti degli imputati elencati in ingresso, e più pre- cisamente è possibile rilevare un bonifico in entrata in data 14 aprile 2016 per un importo di CHF 31’686,00 proveniente dalla società bulgara citata nella com- missione rogatoria in oggetto in quanto coinvolta nel meccanismo fraudolento. I. SRLU con sede a Sofia (BG), (operazione questa indicata nella commissione rogatoria integrativa del 6 dicembre 2021 della Procura di Milano), ed inoltre sul conto (in valuta EUR) n. 3 (nuova numerazione: n. 4) intestato alla stessa A. SA</w:t>
      </w:r>
    </w:p>
    <w:p>
      <w:r>
        <w:t>- 11 -</w:t>
      </w:r>
    </w:p>
    <w:p>
      <w:r>
        <w:t>presso la medesima banca è possibile rilevare innanzitutto due operazioni in accredito in data 21.03.2017 e 10.04.2017, rispettivamente per EUR 36’659,30 e per EUR 19’844,00, entrambe d’ordine della società bulgara oggetto dell’in- chiesta italiana M. SRLU, nonché due ulteriori, accrediti entrambi in data 10.04.2017, rispettivamente per EUR 19484,00 ed EUR 19’784,00, provenienti dalla società bulgara coinvolta nel meccanismo fraudolento N.SRL. Oltre alle suddette operazioni in accredito sono rilevabili molteplici transazioni in accredito e in addebito con soggetti (anche) esteri che lo scrivente Ufficio non può esclu- dere siano anch’essi coinvolti nel sistema di frode perseguito in Italia” (act. 1.2, pag. 16). In considerazione dei contatti intervenuti tra le società estere coinvolte nei fatti oggetto d’inchiesta e il conto litigioso, ampiamente e precisamente de- scritti dall’autorità d’esecuzione sia sulla base dei propri accertamenti che di quelli dell’autorità rogante, l'utilità potenziale della documentazione in questione è certamente data. Vista la natura dei reati contestati, l’autorità estera deve po- tere analizzare personalmente tutta la documentazione bancaria, al fine di rico- struire tutti i flussi di denaro intervenuti tra le soggettività, conosciute o ancora sconosciute, coinvolte nei fatti oggetto delle indagini. Nulla muta il fatto che l’au- torità rogante sia già a conoscenza delle operazioni sopra evidenziate. Non po- tendo del resto escludere che anche altre persone fisiche e/o giuridiche ancora sconosciute agli inquirenti esteri possano risultare coinvolte nella vicenda, la richiesta di anonimizzazione presentata dalla ricorrente a titolo subordinato deve essere disattesa. Spetterà comunque al giudice estero del merito chinarsi sulle contestazioni dei fatti e/o reati formulate dalla ricorrente nonché valutare se dalla documentazione inoltrata emerge in concreto una connessione penal- mente rilevante fra i fatti oggetto della procedura penale in Italia e detta docu- mentazione. Alla luce della domanda rogatoriale risulta che tutta la documenta- zione litigiosa è potenzialmente utile per l’inchiesta, motivo per cui la sua tra- smissione rispetta il principio della proporzionalità.</w:t>
      </w:r>
    </w:p>
    <w:p>
      <w:r>
        <w:t>3.3 Per quanto concerne l'invocata estraneità ai fatti oggetto del procedimento ita- liano, l'assunto ricorsuale non è decisivo. L’insorgente disattende infatti che l'e- ventuale qualità di persona non implicata nell'inchiesta all'estero non consente a priori di opporsi alle misure di assistenza. Basta che sussista una relazione diretta e oggettiva tra la persona ed il reato per il quale si indaga e ciò senza che siano necessarie un'implicazione nell'operazione criminosa e ancor meno una colpevolezza soggettiva ai sensi del diritto penale (DTF 120 Ib 251 consid. 5a e b; 118 Ib 547 consid. 3a in fine; ZIMMERMANN, op. cit., n. 404). Giova a tal proposito ricordare che l'art. 10 cpv. 1 AIMP, concernente la sfera segreta di persone non implicate nel procedimento penale, è stato abrogato con la modi- fica dell'AIMP del 4 ottobre 1996. Per di più, i titolari di conti bancari usati, anche a loro insaputa, per operazioni sospette non potevano comunque prevalersi di quella disposizione (DTF 120 Ib 251 consid. 5b; 112 Ib 576 consid. 13d). Insi- stendo sulla sua estraneità ai fatti oggetto del procedimento estero, la ricorrente</w:t>
      </w:r>
    </w:p>
    <w:p>
      <w:r>
        <w:t>- 12 -</w:t>
      </w:r>
    </w:p>
    <w:p>
      <w:r>
        <w:t>misconosce d'altra parte che il quesito della colpevolezza non deve essere esa- minato nella procedura di assistenza (DTF 118 Ib 547 consid. 3a in fine; 117 Ib 64 consid. 5c; 112 Ib 576 consid. 14a). Né spetta all'autorità né al giudice sviz- zero dell'assistenza, nel quadro di una valutazione sommaria e prima facie dei mezzi di prova, esaminare compiutamente la fondatezza di altri mezzi di prova (v. DTF 117 Ib 64 consid. 5c; 112 Ib 347 consid. 4; cfr. anche DTF 122 II 373 consid. 1c). Trattandosi di una questione relativa alla valutazione delle prove nella procedura penale in quanto tale, spetterà alle autorità italiane risolverla (DTF 121 II 241 consid. 2b; 118 Ib 547 consid. 3a).</w:t>
      </w:r>
    </w:p>
    <w:p>
      <w:r>
        <w:t>4. In conclusione, il ricorso va respinto e la decisione impugnata confermata.</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