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RR.2022.45 vom 20. Dezember 2022</w:t>
      </w:r>
    </w:p>
    <w:p>
      <w:r>
        <w:t>Bundesstrafgericht, 2022-12-20, FR</w:t>
      </w:r>
    </w:p>
    <w:p>
      <w:r>
        <w:rPr>
          <w:b/>
        </w:rPr>
        <w:t xml:space="preserve">Quelle: </w:t>
      </w:r>
      <w:r>
        <w:t>https://mcp.opencaselaw.ch/entscheid/bstger_RR.2022.45</w:t>
      </w:r>
    </w:p>
    <w:p>
      <w:r>
        <w:t>FR: TPF RR.2022.45 du 20 décembre 2022</w:t>
      </w:r>
    </w:p>
    <w:p>
      <w:r>
        <w:t>IT: TPF RR.2022.45 del 20 dicembre 2022</w:t>
      </w:r>
    </w:p>
    <w:p>
      <w:pPr>
        <w:pStyle w:val="Heading2"/>
      </w:pPr>
      <w:r>
        <w:t>Regeste</w:t>
      </w:r>
    </w:p>
    <w:p>
      <w:r>
        <w:t>Entraide judiciaire internationale en matière pénale à l'Allemagne; remise de moyens de preuve (art. 74 EIMP)</w:t>
      </w:r>
    </w:p>
    <w:p>
      <w:pPr>
        <w:pStyle w:val="Heading2"/>
      </w:pPr>
      <w:r>
        <w:t>Erwägungen</w:t>
      </w:r>
    </w:p>
    <w:p>
      <w:r>
        <w:rPr>
          <w:b/>
        </w:rPr>
        <w:t>E. 1.1</w:t>
      </w:r>
    </w:p>
    <w:p>
      <w:r>
        <w:t>L’entraide judiciaire entre la République d’Allemagne et la Confédération suisse est prioritairement régie par la Convention européenne d’entraide judiciaire en matière pénale du 20 avril 1959 (CEEJ; RS 0.351.1), entrée en vigueur pour la Suisse le 20 mars 1967 et pour l’Allemagne le 1er janvier 1977, ainsi que par le Deuxième Protocole additionnel à la CEEJ du 8 novembre 2001 (RS 0.351.12), entré en vigueur pour la Suisse le 1er février 2005 et pour l’Allemagne le 1er juin 2015, et par l’Accord bilatéral complétant la CEEJ du 13 novembre 1969 (RS 0.351.913.61), entré en vigueur le 1er janvier 1977. La Convention n° 141 du Conseil de l’Europe relative au blanchiment, au dépistage, à la saisie et à la confiscation des produits du crime du 8 novembre 1990 (CBI; RS 0.311.53), entrée en vigueur le 1er septembre 1993 pour la Suisse et le 1er janvier 1999 pour l’Allemagne et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https://www.fedlex.admin.ch/fr/sector-specific-agreements/EU-acts-register/ 8/8.1]) s’appliquent également à l’entraide pénale entre la Suisse et l’Allemagne (v. TPF 2009 111 consid. 1.2 p. 113).</w:t>
      </w:r>
    </w:p>
    <w:p>
      <w:r>
        <w:t>Les dispositions des traités précités l’emportent sur le droit interne qui régit la matière, soit la loi fédérale sur l’entraide internationale en matière pénale du 20 mars 1981 (EIMP; RS 351.1) et son ordonnance d’exécution du 24 février 1982 (OEIMP; RS 351.11). Le droit interne reste toutefois applicable aux questions qui ne sont pas réglées, explicitement ou implicitement, par les dispositions conventionnelles (art. 1 al. 1 EIMP), ou lorsqu’elles permettent l’octroi de l’entraide à des conditions plus favorables (ATF 142 IV 250 consid. 3; 140 IV 123 consid. 2; 137 IV 33 consid. 2.2.2; 130 II 337 consid. 1; 124 II 180 consid. 1a), ce qui est valable aussi dans le rapport entre les normes internationales (v. art. 48 ch. 2 CAAS et art. 39 ch. 2 CBI). La norme la plus favorable est appliquée dans le respect des droits fondamentaux (ATF 145 IV 294 consid. 2.1; 135 IV 212 consid. 2.3; 123 II 595 consid. 7c; arrêt du Tribunal fédéral 1C_196/2021 du 28 mai 2021</w:t>
      </w:r>
    </w:p>
    <w:p>
      <w:r>
        <w:t>- 5 -</w:t>
      </w:r>
    </w:p>
    <w:p>
      <w:r>
        <w:t>consid. 3.4 non publié in ATF 147 II 432).</w:t>
      </w:r>
    </w:p>
    <w:p>
      <w:r>
        <w:rPr>
          <w:b/>
        </w:rPr>
        <w:t>E. 1.2</w:t>
      </w:r>
    </w:p>
    <w:p>
      <w:r>
        <w:t>En vertu de l’art. 37 al. 2 de la loi fédérale sur l’organisation des autorités pénales de la Confédération du 19 mars 2010 (LOAP;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 La Cour de céans examine d’office la recevabilité des recours qui lui sont adressés (v., par exemple, arrêt du Tribunal pénal fédéral RR.2016.127 du 11 octobre 2016 consid. 3).</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OIEMP reconnaît au titulaire d’un compte bancaire la qualité pour recourir contre la remise à l’État requérant d’informations relatives à ce compte (v. ATF 137 IV 134 consid. 5; 130 II 162 consid. 1.1; 118 Ib 547 consid. 1d). In casu, le recourant, titulaire des relations bancaires visées par la décision de clôture, a la qualité pour recourir.</w:t>
      </w:r>
    </w:p>
    <w:p>
      <w:r>
        <w:rPr>
          <w:b/>
        </w:rPr>
        <w:t>E. 1.4</w:t>
      </w:r>
    </w:p>
    <w:p>
      <w:r>
        <w:t>Le délai de recours contre la décision de clôture de la procédure d’entraide est de 30 jours dès la communication écrite de celle-ci (art. 80k EIMP), c’est- à-dire, de sa notification (ATF 136 IV 16 consid. 2.3). Interjeté le 7 mars 2022 contre une décision notifiée le 4 février 2022 (v. act. 1, p. 7), le recours a été déposé en temps utile.</w:t>
      </w:r>
    </w:p>
    <w:p>
      <w:r>
        <w:rPr>
          <w:b/>
        </w:rPr>
        <w:t>E. 1.5</w:t>
      </w:r>
    </w:p>
    <w:p>
      <w:r>
        <w:t>Le recours est ainsi recevable et il y a lieu d’entrer en matière.</w:t>
      </w:r>
    </w:p>
    <w:p>
      <w:r>
        <w:rPr>
          <w:b/>
        </w:rPr>
        <w:t>E. 2</w:t>
      </w:r>
    </w:p>
    <w:p>
      <w:r>
        <w:t>En l’espèce, le litige porte sur la question de savoir si le MP-GE a ordonné, à juste titre, la transmission à l’autorité requérante de la documentation bancaire relative à la relation n° 1 au nom de A. auprès de la banque C., ainsi que de celle ouverte au nom de ce dernier auprès de E. SA y compris le courrier du 30 mars 2021 et ses annexes.</w:t>
      </w:r>
    </w:p>
    <w:p>
      <w:r>
        <w:rPr>
          <w:b/>
        </w:rPr>
        <w:t>E. 3</w:t>
      </w:r>
    </w:p>
    <w:p>
      <w:r>
        <w:t>août 2018, y compris l’annexe KYC de E. SA du 9 juillet 2018 et la pièce annexée (in act. 9.2, classeur C à I, p. 70 s.); à la demande d’entraide complémentaire du 24 juin 2021 (act. 1.6); à la décision d’entrée en matière complémentaire du MP-GE du 2 septembre 2021 (act. 1.7); et, aux ordonnances d’exécution du MP-GE du 2 septembre 2021, adressées à la banque C. et E. SA, concernant les relations bancaires du recourant (act. 1.8 et 1.9). Cela étant, il est manifeste que le recourant a eu un accès complet aux pièces décisives pour le sort de la procédure d’entraide en question. Il a, de plus, reçu copie des ordonnances d’exécution du MP-GE du 2 septembre 2021, bien que pas décisives pour la cause. Il a enfin pu valablement se déterminer devant le MP-GE sur la procédure et les pièces à transmettre (act. 9.2, classeur C à I, p. 74 ss).</w:t>
      </w:r>
    </w:p>
    <w:p>
      <w:r>
        <w:t>En ce qui concerne la prétendue violation de son droit à consulter les dossiers dans d’autres procédures, notamment celui de la procédure pénale diligentée en Suisse, il est rappelé qu’un tel grief doit, le cas échéant, être soulevé auprès du juge du fond. Il en va de même s’agissant du dossier de la procédure en Allemagne puisque c’est auprès des autorités requérantes qu’il lui appartient de soulever ce grief.</w:t>
      </w:r>
    </w:p>
    <w:p>
      <w:r>
        <w:t>Au vu de ce qui précède, mal fondé, le grief de la violation du droit d’être entendu sous la forme de la consultation du dossier tombe à faux.</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et pour et pour l’Allemagne dès le 3 septembre 1953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rPr>
          <w:b/>
        </w:rPr>
        <w:t>E. 3.2</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Dès lors que le droit de consulter le dossier ne s’étend</w:t>
      </w:r>
    </w:p>
    <w:p>
      <w:r>
        <w:t>- 7 -</w:t>
      </w:r>
    </w:p>
    <w:p>
      <w:r>
        <w:t>qu’aux pièces décisives ayant conduit à la décision attaquée, la consultation des pièces non pertinentes peut, a contrario, être refusée.</w:t>
      </w:r>
    </w:p>
    <w:p>
      <w:r>
        <w:rPr>
          <w:b/>
        </w:rPr>
        <w:t>E. 3.3</w:t>
      </w:r>
    </w:p>
    <w:p>
      <w:r>
        <w:t>En l’espèce, il ressort du dossier que le recourant a eu accès à la demande d’entraide du 1er septembre 2020 (act. 1.2), y compris à la décision de séquestre du 20 août 2020 de l’Amtsgericht de Dresde (act. 1.3); à la décision d’entrée en matière du MP-GE du 29 septembre 2020 concernant B. (act. 1.4); à l’ordonnance d’exécution du MP-GE du 29 septembre 2020 adressée à la banque C. concernant B. (act. 1.5); au courrier de la banque C. du 8 octobre 2020, avec en annexe le mémorandum de la banque C. du</w:t>
      </w:r>
    </w:p>
    <w:p>
      <w:r>
        <w:rPr>
          <w:b/>
        </w:rPr>
        <w:t>E. 4</w:t>
      </w:r>
    </w:p>
    <w:p>
      <w:r>
        <w:t>Le recourant s’en prend ensuite à la condition de la double incrimination. Selon son appréciation des faits décrits dans les requêtes allemandes, ceux- ci ne réaliseraient pas les conditions objectives du blanchiment d’argent et de la violation du droit d’auteur sous la forme aggravée. Il prétend également que l’enquête allemande serait tout au plus une affaire de soustraction fiscale, domaine dans lequel l’entraide est exclue au sens de l’art. 3 al. 3 EIMP (act. 1, p. 7 ss).</w:t>
      </w:r>
    </w:p>
    <w:p>
      <w:r>
        <w:rPr>
          <w:b/>
        </w:rPr>
        <w:t>E. 4.1</w:t>
      </w:r>
    </w:p>
    <w:p>
      <w:r>
        <w:t>Aux termes de l’art. 14 CEEJ, la demande d’entraide doit notamment</w:t>
      </w:r>
    </w:p>
    <w:p>
      <w:r>
        <w:t>- 8 -</w:t>
      </w:r>
    </w:p>
    <w:p>
      <w:r>
        <w:t>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l’État requérant un exposé complet et exempt de toute lacune, puisque la procédure d’entraide a précisément pour but d’apporter aux autorités de l’État requérant des renseignements au sujet des points demeurés obscurs (ATF 117 Ib 64 consid. 5c et les arrêts cités). Les indications fournies à ce titre doivent simplement suffire pour vérifier que la demande n’est pas d’emblée inadmissible (ATF 116 Ib 96 consid. 3 a; arrêt du Tribunal pénal fédéral RR.2007.122 du 29 octobre 2007 consid. 4). Dans le cadre d’une demande d’entraide judiciaire, il convient effectivement de garder à l’esprit que la démarche de l’autorité étrangère vise à compléter, par les renseignements requis, les investigations qu’elle mène (ZIMMERMANN, op. cit., n° 293, p. 310), ceux-ci pouvant s’avérer, à la suite de leur examen par le juge étranger – et non par celui de l’État requis –, pertinents ou non et, le cas échéant, constituer des éléments à charge ou à décharge.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précité consid. 3.2 et la référence citée). Elle peut ainsi faire valoir de simples soupçons sans avoir à prouver les faits qu’elle allègue (arrêt du Tribunal fédéral 1C_446/2020 du 30 septembre 2020 consid. 2.2). Quant à l’autorité helvétique, elle n’a pas à se prononcer sur la réalité des faits évoqués dans la demande, car elle ne peut que déterminer si, tels qu’ils sont présentés, ils constituent une infraction. Cette autorité ne peut s’écarter des faits décrits par l’État requérant qu’en cas d’erreurs, lacunes ou contradictions évidentes et immédiatement établies (ATF 133 IV 76 consid. 2.2; 126 II 495 consid. 5e/aa; 118 Ib 111 consid. 5b).</w:t>
      </w:r>
    </w:p>
    <w:p>
      <w:r>
        <w:rPr>
          <w:b/>
        </w:rPr>
        <w:t>E. 4.2</w:t>
      </w:r>
    </w:p>
    <w:p>
      <w:r>
        <w:t>La condition de la double incrimination est satisfaite lorsque l’état de fait exposé dans la demande correspond, prima facie, aux éléments constitutifs objectifs d’une infraction réprimée par le droit suisse et donnant lieu, ordinairement, à la coopération internationale (v. art. 64 al. 1 EIMP cum art. 5 ch. 1 let. a CEEJ). Comme déjà souligné ci-haut, l’autorité requérante ne doit pas fournir des preuves des faits qu’elle avance ou exposer en quoi la partie</w:t>
      </w:r>
    </w:p>
    <w:p>
      <w:r>
        <w:t>- 9 -</w:t>
      </w:r>
    </w:p>
    <w:p>
      <w:r>
        <w:t>dont les informations sont requises est concrètement impliquée dans les agissements sous enquête, des simples soupçons étant suffisants. L’exposé des faits ne doit ainsi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coopération n’est pas accordée si l’État requérant ne dispose pas de la compétence pour réprimer les délits imputés aux personnes poursuivies. Ce motif d’exclusion découle aussi de l’art. 1 par. 1 CEEJ a contrario, qui subordonne la coopération à l’existence d’une compétence répressive en faveur des autorités judiciaires de l’État requérant. La Suisse ne refuse sa coopération que si la compétence des autorités étrangères fait clairement défaut, au point de rendre abusive la demande. Pour le surplus, il n’appartient pas à l’autorité d’exécution d’examiner la compétence procédurale de l’autorité étrangère, ni de résoudre un éventuel conflit entre les autorités de l’État requérant (ZIMMERMANN, op. cit., n° 658). Dès lors qu’elle s’examine au regard des règles de droit interne de l’État requérant, la compétence des autorités répressives de cet État est en général présumée (ATF 132 II 178 consid. 5.2).</w:t>
      </w:r>
    </w:p>
    <w:p>
      <w:r>
        <w:rPr>
          <w:b/>
        </w:rPr>
        <w:t>E. 4.3</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objectifs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117 Ib 337 consid. 4a;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w:t>
      </w:r>
    </w:p>
    <w:p>
      <w:r>
        <w:t>- 10 -</w:t>
      </w:r>
    </w:p>
    <w:p>
      <w:r>
        <w:t>incrimination soit réalisée pour chacun des chefs à raison desquels les prévenus sont poursuivis dans l’État requérant (ATF 125 II 569 consid. 6; 110 Ib 173 consid. 5b; arrêts du Tribunal fédéral 1C_571/2019 du 17 décembre 2019 consid. 4.3 et références citées; 1A.212/2001 du 21 mars 2002 consid. 7). La condition de la double incrimination s’examine selon le droit en vigueur dans l’État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v. ég. ZIMMERMANN, op. cit., n° 581).</w:t>
      </w:r>
    </w:p>
    <w:p>
      <w:r>
        <w:rPr>
          <w:b/>
        </w:rPr>
        <w:t>E. 4.4</w:t>
      </w:r>
    </w:p>
    <w:p>
      <w:r>
        <w:t>En l’occurrence, il ressort pour l’essentiel de la requête d’entraide formulée le 1er septembre 2020 par le Ministère public général de Dresde et de ses annexes, notamment du Beschluss du 20 août 2020 émis par le Amtsgericht de Dresde (act. 1.3), que les autorités pénales allemandes mènent une enquête pénale sous référence 390 Js 22/13 contre B. et d’autres personnes (act 1.2, 1.3). Le précité et ses complices sont notamment suspectés d’utilisation commerciale non autorisée d’œuvres protégées par le droit d’auteur, de blanchiment d’argent en bande organisée à des fins commerciales et de fraude fiscale; comportements réprimés par plusieurs dispositions du droit pénal allemand citées dans la requête (v. act. 1.2, p. 2; act. 1.6, p. 4; act. 1.7, p. 3). En résumé, l’autorité requérante expose que B. et ses complices, à savoir F. et G. auraient été, depuis l’automne 2008 jusqu’à mai 2013, ensemble avec d’autres auteurs et fondateurs, propriétaires du portail allemand de films piratés H. Ce site était utilisé pour la sauvegarde et la mise à disposition de copies illégales de films. Par l’utilisation de ce site et d’autres sites d’hébergement créés successivement, à savoir du portail internet I., et grâce également aux revenus annuels provenant des recettes de publicité, les auteurs précités auraient obtenu des bénéfices annuels de l’ordre de plusieurs millions d’euros. Il ressort ensuite de la requête que les revenus illégaux provenant de l’exploitation d’œuvres protégées par le droit d’auteur et les importantes recettes publicitaires illicitement perçues auraient été blanchis notamment à travers l’acquisition de crypto-monnaies (bitcoins), notamment à l’aide de nombreux hommes de paille et de sociétés immobilières écrans situées dans plusieurs pays, sociétés contrôlées par les personnes sous enquête. Selon l’autorité requérante, B. se serait en outre prévalu de la complicité d’un agent financier connu sous l’alias de « D. » afin de blanchir le produit des infractions en le transférant sur plusieurs comptes en bitcoins dans plusieurs pays. Des transactions (ventes de bitcoins) auraient également été effectuées à partir</w:t>
      </w:r>
    </w:p>
    <w:p>
      <w:r>
        <w:t>- 11 -</w:t>
      </w:r>
    </w:p>
    <w:p>
      <w:r>
        <w:t>de relations bancaires contrôlées ou détenues par B. et « D. » auprès de la banque C. en Suisse (act 1.6). On déduit enfin de l’exposé des faits que les sociétés exploitées à l’étranger par les précités (par exemple la société I.) auraient été utilisées pour détourner l’obligation d’annonce fiscale. B. et F., auraient occulté des recettes fiscales en les transférant sur des comptes à l’étranger, par exemple sur un compte auprès de la banque J. à Hong Kong, compte détenu par une entité tierce mais sous le contrôle économique de B. On apprend finalement de la requête et de ses annexes, que les prévenus F. et B., pour les périodes fiscales allant de 2011 à 2013, auraient soustrait au fisc plusieurs centaines de milliers d’euros (act. 1.3).</w:t>
      </w:r>
    </w:p>
    <w:p>
      <w:r>
        <w:rPr>
          <w:b/>
        </w:rPr>
        <w:t>E. 4.5</w:t>
      </w:r>
    </w:p>
    <w:p>
      <w:r>
        <w:t>N’en déplaise au recourant, c’est avec raison que l’autorité d’exécution a retenu la demande d’entraide comme étant conforme aux conditions requises par la loi. La commission rogatoire émane d’une autorité pénale compétente, elle contient un exposé des faits exhaustif ainsi que l’indication des personnes visées par l’enquête étrangère et les qualifications pénales avec l’indication des articles du Code pénal allemand applicables (act. 1.2). En ce qui concerne la condition de la double punissabilité, à supposer que les faits eussent été réalisés en Suisse, ils auraient pu remplir les conditions objectives de l’art. 67 de la loi fédérale sur le droit d’auteur et les droits voisins du 9 octobre 1992 (LDA; RS 231.1). Cette disposition « puni d’une peine privative de liberté d’un an au plus ou d’une peine pécuniaire quiconque intentionnellement et sans droit […] met une œuvre à disposition, par quelque moyen que ce soit, de manière que toute personne puisse y avoir accès d’un endroit et à un moment qu’elle peut choisir à sa convenance » (al. 1 let. gbis). Si l’auteur agit par métier, « la peine est une peine privative de liberté de cinq ans au plus ou une peine pécuniaire » (al. 2). En effet, l’utilisation du web pour faire apparaitre une œuvre de manière permanente sans autorisation ou de sites où les liens ont pour fonction de permettre la visualisation ou l’écoute d’œuvres piratées, comme c’est justement le cas en l’espèce, tombe sous le coup de la norme précitée (v., notamment, Message concernant l’arrêté fédéral relatif à l’approbation de deux traités de l’Organisation Mondiale de la Propriété Intellectuelle et concernant la modification de la loi sur le droit d’auteur du 10 mars 2006, FF 2006 3263, p. 3294 et 3300; CHERPILLOD, Propriété intellectuelle: Précis de droit suisse, 2021, nos 1146-1150). Dans le cas d’espèce, la condition du métier pourrait également être retenue eu égard au chiffre d’affaires et/ou du gain réalisé par les auteurs (plusieurs dizaines de millions d’euros). Quand bien même la réalisation de la double punissabilité sous la forme d’une violation de l’art. 67 LDA suffit pour que l’entraide soit accordée (supra consid. 4.3), cette condition serait également réalisée sous l’angle du blanchiment d’argent tant il est vrai que le changement d’argent en cryptomonnaie ou le transfert de sommes d’argent sur des comptes détenus</w:t>
      </w:r>
    </w:p>
    <w:p>
      <w:r>
        <w:t>- 12 -</w:t>
      </w:r>
    </w:p>
    <w:p>
      <w:r>
        <w:t>par les auteurs des infractions à l’étranger ou à des sociétés-écrans, sont des conduites propres à entraver l’identification de l’origine, la découverte ou la confiscation de valeurs patrimoniales au sens de l’art. 305bis CP. S’agissant du chef de blanchiment d’argent, la Cour de céans tient à relever que l’autorité requérante ne doit pas nécessairement apporter la preuve de la commission des actes de blanchiment ou de l’infraction préalable puisqu’un simple soupçon considéré objectivement suffit pour l’octroi de la coopération sous l’angle de la double incrimination (v. ATF 130 II 329 consid. 5.1; 129 II 97 consid. 3; arrêts du Tribunal fédéral 1C_126/2014 du 16 mai 2014 consid. 4.4; 1A.231/2003 du 6 février 2004 consid. 5.3; TPF 2011 194 consid. 2.1 in fine; v. ég. ZIMMERMANN, op. cit., n° 602). Envers les États cocontractants de la CBI,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 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 Cette interprétation correspond à la notion d'entraide « la plus large possible » dont il est question aux art. 1 CEEJ, art. 7 ch. 1 et 8 CBI (ATF 129 II 97 consid. 3.2). Aussi, en l’espèce, convient-il de relever que l’importance des impôts globalement soustraits au fisc pour les périodes 2011, 2012, et 2013, montants supérieurs à CHF 300’000.-- par période fiscale, suffirait à elle seule, vus les actes d’entrave mentionnés, pour retenir la double incrimination du chef de blanchiment de délit fiscal qualifié (art. 305bis al. 1bis CP). Il est ainsi superflu de se poser la question de savoir si l’on se trouve en présence d’une escroquerie fiscale. Il est néanmoins rappelé que l’État requérant sera lié par la réserve de la spécialité.</w:t>
      </w:r>
    </w:p>
    <w:p>
      <w:r>
        <w:rPr>
          <w:b/>
        </w:rPr>
        <w:t>E. 4.6</w:t>
      </w:r>
    </w:p>
    <w:p>
      <w:r>
        <w:t>Au vu de ce qui précède, le grief doit être écarté.</w:t>
      </w:r>
    </w:p>
    <w:p>
      <w:r>
        <w:rPr>
          <w:b/>
        </w:rPr>
        <w:t>E. 5</w:t>
      </w:r>
    </w:p>
    <w:p>
      <w:r>
        <w:t>Dans un dernier grief, le recourant conteste la proportionnalité de l’entraide. Il relève que l’autorité allemande ne mentionne pas son nom dans les requêtes et leurs annexes. De ce fait, il prétend que la requête serait constitutive de « fishing expédition ». Il soulève enfin que les informations litigieuses concernent sa sphère privée et ne seraient pas utiles aux autorités requérantes (act. 1, p. 11 s.).</w:t>
      </w:r>
    </w:p>
    <w:p>
      <w:r>
        <w:t>- 13 -</w:t>
      </w:r>
    </w:p>
    <w:p>
      <w:r>
        <w:rPr>
          <w:b/>
        </w:rPr>
        <w:t>E. 5.1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5.2</w:t>
      </w:r>
    </w:p>
    <w:p>
      <w:r>
        <w:t>L’examen de l’autorité d’entraide est régi par le principe de l’«utilité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w:t>
      </w:r>
    </w:p>
    <w:p>
      <w:r>
        <w:t>- 14 -</w:t>
      </w:r>
    </w:p>
    <w:p>
      <w:r>
        <w:t>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références citées; ZIMMERMANN, op. cit., n° 723, p. 798 ss).</w:t>
      </w:r>
    </w:p>
    <w:p>
      <w:r>
        <w:rPr>
          <w:b/>
        </w:rPr>
        <w:t>E. 5.3</w:t>
      </w:r>
    </w:p>
    <w:p>
      <w:r>
        <w:t>Le recourant se fourvoie en pensant pouvoir se soustraire à l’entraide du simple fait que son nom n’est pas cité dans la requête. Des informations sont potentiellement utiles pour l’autorité requérante lorsqu’elles ont un rapport suffisant avec l’enquête (supra consid. 5.2). Cela est manifestement le cas puisque les autorités étrangères visent des relations bancaires auprès de la banque C. comme ayant pu servir à blanchir le produit des infractions objet de leur enquête. L’utilité potentielle des informations pour l’autorité requérante est ainsi manifestement donnée. Elle l’est d’autant que la documentation saisie semble démontrer que le recourant pourrait être l’agent financier ou le complice de B. De plus, l’utilisation du compte du recourant pour des transactions avec des monnaies virtuelles (bitcoins) et dans la période indiquée dans la requête, s’insère parfaitement dans le modus operandi sur lequel porte l’enquête allemande, ce qui scelle la pertinence de la transmission des informations eu égard au principe de la proportionnalité. Ce qui précède vaut également au sujet de la transmission de la documentation concernant le recourant saisie auprès de E. SA. Dépourvu de fondement, ce grief également doit donc être écarté.</w:t>
      </w:r>
    </w:p>
    <w:p>
      <w:r>
        <w:rPr>
          <w:b/>
        </w:rPr>
        <w:t>E. 6</w:t>
      </w:r>
    </w:p>
    <w:p>
      <w:r>
        <w:t>Au vu des considérants qui précèdent, il s’ensuit que le recours est rejeté.</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fixés à CHF 5’000.-- (v. art. 73 al. 2 LOAP, art. 8 al. 3 du règlement du Tribunal pénal fédéral sur les frais, émoluments, dépens, et indemnités de la procédure pénale fédérale du 31 août 2010 [RFPPF; RS 173.713.162] et art. 63 al. 5 PA), réputés couverts par l’avance de frais déjà versée.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