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RR.2022.41 vom 30. März 2022</w:t>
      </w:r>
    </w:p>
    <w:p>
      <w:r>
        <w:t>Bundesstrafgericht, 2022-03-30, IT</w:t>
      </w:r>
    </w:p>
    <w:p>
      <w:r>
        <w:rPr>
          <w:b/>
        </w:rPr>
        <w:t xml:space="preserve">Quelle: </w:t>
      </w:r>
      <w:r>
        <w:t>https://mcp.opencaselaw.ch/entscheid/bstger_RR.2022.41</w:t>
      </w:r>
    </w:p>
    <w:p>
      <w:r>
        <w:t>FR: TPF RR.2022.41 du 30 mars 2022</w:t>
      </w:r>
    </w:p>
    <w:p>
      <w:r>
        <w:t>IT: TPF RR.2022.41 del 30 marzo 2022</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A.,</w:t>
      </w:r>
    </w:p>
    <w:p>
      <w:r>
        <w:rPr>
          <w:b/>
        </w:rPr>
        <w:t>E. 2</w:t>
      </w:r>
    </w:p>
    <w:p>
      <w:r>
        <w:t>B. LTD,</w:t>
      </w:r>
    </w:p>
    <w:p>
      <w:r>
        <w:rPr>
          <w:b/>
        </w:rPr>
        <w:t>E. 3</w:t>
      </w:r>
    </w:p>
    <w:p>
      <w:r>
        <w:t>C. LTD,</w:t>
      </w:r>
    </w:p>
    <w:p>
      <w:r>
        <w:rPr>
          <w:b/>
        </w:rPr>
        <w:t>E. 4</w:t>
      </w:r>
    </w:p>
    <w:p>
      <w:r>
        <w:t>D. SA, tutti rappresentati dall'avv. Filippo Gianoni, Ricorrenti</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RR.2022.41-44</w:t>
      </w:r>
    </w:p>
    <w:p>
      <w:r>
        <w:t>- 2 -</w:t>
      </w:r>
    </w:p>
    <w:p>
      <w:r>
        <w:t>Visti: - la decisione di chiusura del 7 febbraio 2022, con la quale il Ministero pubblico del Cantone Ticino ha accolto una domanda di assistenza del 20 settembre 2020, unitamente ai complementi del 10 dicembre 2020, del 25 giugno e 11 novembre 2021, presentata dalla Procura della Repubblica presso il Tribu- nale di Napoli (Italia) nell’ambito di un procedimento penale condotto nei con- fronti di E. e altri per titolo di associazione finalizzata al traffico illecito di so- stanze stupefacenti aggravata dall’ingente quantità e altri reati, ordinando la trasmissione all’autorità rogante di svariata documentazione frutto di perquisi- zioni avvenute il 12 novembre 2021 presso il domicilio di A. e le sedi delle società B. Ltd, C. Ltd e D. SA (v. act. 1.1); - il ricorso presentato il 7 marzo 2022 dinanzi a questa Corte, con il quale A., B. Ltd, C. Ltd e D. SA hanno postulato la modifica della predetta decisione di chiusura, con l’esclusione dalla trasmissione di determinati documenti (v. act. 1); - lo scritto dell’8 marzo 2022, con il quale questa Corte ha invitato i ricorrenti a versare un anticipo delle spese di fr. 8'000.– e a produrre delle procure debi- tamente datate e firmate entro il 21 marzo 2022, termine susseguentemente prorogato, su richiesta dei predetti, al 25 marzo 2022 (v. act. 3 e 4); - le procure inoltrate dai ricorrenti il 16 marzo 2022 (v. act. 4.1-4.4); - lo scritto datato 25 marzo 2022, con cui i ricorrenti hanno dichiarato di ritirare il proprio gravame (v. act. 5).</w:t>
      </w:r>
    </w:p>
    <w:p>
      <w:r>
        <w:t>Considerato: - che a fronte della testé citata dichiarazione scritta del 25 marzo 2022,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w:t>
      </w:r>
    </w:p>
    <w:p>
      <w:r>
        <w:t>- 3 -</w:t>
      </w:r>
    </w:p>
    <w:p>
      <w:r>
        <w:t>cpv. 2 lett. b della legge federale del 19 marzo 2010 sull'organizzazione delle autorità penali della Confederazione [LOAP; RS 173.71]); - che in caso di ritiro del ricorso l’insorgente va considerato parte soccombente giusta l’art. 63 cpv. 1 PA (v. sentenze del Tribunale penale federale RR.2012.161 del 3 agosto 2012 e RR.2012.152 del 10 luglio 2012 con rinvii; BOVAY, Procédure administrative, 2a ediz. 2015, pag. 644 e seg.; GYGI, Bun- desverwaltungsrechtspflege, 2a ediz. 1983, pag. 327);</w:t>
      </w:r>
    </w:p>
    <w:p>
      <w:r>
        <w:t>- che la dichiarazione di ritiro del ricorso è avvenuta ad uno stadio embrionale della procedura, prima che l'autorità d'esecuzione sia stata invitata a presen- tare le proprie osservazioni, cagionando contenuti, ma comunque esistenti, oneri di lavoro per la cancelleria del Tribunale; - che l'emolumento posto a carico dei ricorrenti in solido va quindi fissato a fr. 1’000.–, in applicazione degli art. 63 cpv. 5 PA, 73 cpv. 2 LOAP nonché 5 e 8 cpv. 3 del regolamento del Tribunale penale federale del 31 agosto 2010 sulle spese, gli emolumenti, le ripetibili e le indennità della procedura penale federale (RSPPF; RS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