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RR.2022.38 vom 16. Mai 2022</w:t>
      </w:r>
    </w:p>
    <w:p>
      <w:r>
        <w:t>Bundesstrafgericht, 2022-05-16, IT</w:t>
      </w:r>
    </w:p>
    <w:p>
      <w:r>
        <w:rPr>
          <w:b/>
        </w:rPr>
        <w:t xml:space="preserve">Quelle: </w:t>
      </w:r>
      <w:r>
        <w:t>https://mcp.opencaselaw.ch/entscheid/bstger_RR.2022.38</w:t>
      </w:r>
    </w:p>
    <w:p>
      <w:r>
        <w:t>FR: TPF RR.2022.38 du 16 mai 2022</w:t>
      </w:r>
    </w:p>
    <w:p>
      <w:r>
        <w:t>IT: TPF RR.2022.38 del 16 maggio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- 5 -</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febbraio 2010 consid. 4.1; ZIMMERMANN, La coopération judiciaire internatio- nale en matière pénale, 5a ediz. 2019, n. 723,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2.1.1</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verfassungs- mässige Anspruch auf rechtliches Gehör im Verwaltungsverfahren des moder- 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 sid. 4.1; 130 II 530 consid. 4.3; 126 I 97 consid. 2b; sentenza del Tribunale federale 1B_380/2010 del 14 marzo 2011 consid. 3.2.1).</w:t>
      </w:r>
    </w:p>
    <w:p>
      <w:r>
        <w:rPr>
          <w:b/>
        </w:rPr>
        <w:t>E. 2.1.2</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w:t>
      </w:r>
    </w:p>
    <w:p>
      <w:r>
        <w:t>- 6 -</w:t>
      </w:r>
    </w:p>
    <w:p>
      <w:r>
        <w:t>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w:t>
      </w:r>
    </w:p>
    <w:p>
      <w:r>
        <w:t>- 7 -</w:t>
      </w:r>
    </w:p>
    <w:p>
      <w:r>
        <w:t>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w:t>
      </w:r>
    </w:p>
    <w:p>
      <w:r>
        <w:rPr>
          <w:b/>
        </w:rPr>
        <w:t>E. 2.2.1</w:t>
      </w:r>
    </w:p>
    <w:p>
      <w:r>
        <w:t>Il MP-TI ha ampiamente spiegato nella decisione impugnata di 24 pagine (tre pagine e mezza interamente dedicate al conto della ricorrente, v. pag. 10 e segg.) le ragioni della trasmissione dei documenti litigiosi, affermando, segnata- mente, che «sulla relazione n. 1 intestata alla società A. SA presso la banca H. sono affluiti fondi di possibile origine illecita per un importo totale di circa EUR 198’000,00 (come indicato nella rogatoria integrativa del 6 dicembre 2021 della Procura di Milano) e, più precisamente, sono riscontrabili almeno 16 ope- razioni in accredito (spalmate su un ampio arco temporale che va da ottobre 2017 a maggio 2021) provenienti da società bulgare menzionate nella commis- sione rogatoria integrativa del 6 dicembre 2021, in quanto coinvolte nel mecca- nismo fraudolento” perseguito dalla Procura di Milano, e meglio dalla I. SRLU (v. accredito del 12.10.2017 per EUR 20’000,00), dalla J. SRL (v. accrediti del 07.03.2019 per EUR 6'090,00; del 04.06.2019 per EUR 11’200,00; del 13.09.2019 per EUR 9’129,00; tutti provenienti dal conto IBAN n. 2 indicato in rogatoria) e (la maggior parte degli ulteriori accrediti) dalla K. EOOD. (conto di provenienza IBAN n. 3 indicato nella rogatoria). Oltre alle suddette operazioni in entrata sono rilevabili molteplici transazioni in accredito e in addebito con persone fisiche e giuridiche (anche) estere che lo scrivente Ufficio non può escludere siano anch’esse coinvolte nel vasto e complesso “meccanismo frau- dolento” oggetto del procedimento penale italiano, come pure sono riscontrabili</w:t>
      </w:r>
    </w:p>
    <w:p>
      <w:r>
        <w:t>- 8 -</w:t>
      </w:r>
    </w:p>
    <w:p>
      <w:r>
        <w:t>numerosi prelevamenti in contanti. Per tali motivi, l’utilità potenziale della docu- mentazione afferente la surriferita relazione intestata alla società A. SA è palese [...]» (act. 1.3, pag. 10). Con la motivazione della propria decisione qui parzial- mente riportata, il MP-TI ha ossequiato i principi giurisprudenziali sopraesposti (v. supra consid. 2.1.1). Non v'è dunque dubbio che gli elementi contenuti sia nella domanda d'assistenza, sia nella decisione impugnata, siano stati suffi- cienti per permettere alla ricorrente di comprenderne la portata e di interporre ricorso nel pieno rispetto del suo diritto di essere sentita, ciò che è peraltro di- mostrato dal ben articolato e dettagliato atto ricorsuale inoltrato alla presente autorità. La censura in questo ambito deve quindi essere disattesa.</w:t>
      </w:r>
    </w:p>
    <w:p>
      <w:r>
        <w:rPr>
          <w:b/>
        </w:rPr>
        <w:t>E. 2.2.2</w:t>
      </w:r>
    </w:p>
    <w:p>
      <w:r>
        <w:t>In considerazione dei contatti intervenuti tra le società estere coinvolte nei fatti oggetto d’inchiesta e il conto litigioso, ampiamente e precisamente descritti dall’autorità d’esecuzione sia sulla base dei propri accertamenti che di quelli dell’autorità rogante, l'utilità potenziale della documentazione litigiosa è certa- mente data. Vista la natura dei reati contestati, l’autorità estera deve potere analizzare personalmente tutta la documentazione litigiosa, al fine di ricostruire tutti i flussi di denaro intervenuti tra le soggettività, conosciute o ancora scono- sciute, coinvolte nei fatti oggetto delle indagini. Spetterà comunque al giudice estero del merito valutare nel dettaglio la rilevanza probatoria di tale documen- tazione. Alla luce della domanda rogatoriale risulta che tutta la documentazione litigiosa è potenzialmente utile per l’inchiesta, motivo per cui la sua trasmissione rispetta il principio della proporzionalità e non costituisce una ricerca esplorativa e indiscriminata di prove.</w:t>
      </w:r>
    </w:p>
    <w:p>
      <w:r>
        <w:rPr>
          <w:b/>
        </w:rPr>
        <w:t>E. 2.2.3</w:t>
      </w:r>
    </w:p>
    <w:p>
      <w:r>
        <w:t>Le conclusioni di cui sopra valgono indipendentemente dal fatto che l’autorità italiana abbia nel frattempo esteso il procedimento penale estero ai reati di im- piego di denaro, beni o utilità di provenienza illecita (art. 648-ter CP/I) e di autoriciclaggio (art. 648-ter 1 CP/I), come indicato nel complemento rogatoriale del 5 febbraio 2022 – documento che non ha potuto evidentemente essere preso in considerazione per l’emanazione della decisione di chiusura del 3 feb- braio 2022 – e riportato dal MP-TI in sede di duplica spontanea (v. act. 14). Non avendo il MP-TI prodotto ulteriore documentazione dopo la consultazione degli atti effettuata dalla ricorrente in data 23 febbraio 2022, un ulteriore accesso all’incarto da parte di quest’ultima, richiesto in caso di nuovi atti, non si giustifica. Da disattendere è pure la censura secondo la quale il procedimento estero soffrirebbe di gravi lacune e violerebbe il principio della buona fede tra Stati, per avere l’autorità estera reiterato, col complemento del 5 febbraio 2022, una richiesta di documentazione, riguardante una relazione bancaria di una società terza, già inoltrata dall’autorità d’esecuzione elvetica all’autorità rogante. Trat- tasi tuttalpiù di un problema di trasmissione che non inficia la validità in sé della procedura di assistenza.</w:t>
      </w:r>
    </w:p>
    <w:p>
      <w:r>
        <w:t>- 9 -</w:t>
      </w:r>
    </w:p>
    <w:p>
      <w:r>
        <w:rPr>
          <w:b/>
        </w:rPr>
        <w:t>E. 3</w:t>
      </w:r>
    </w:p>
    <w:p>
      <w:r>
        <w:t>In conclusione, il ricorso va respinto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