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RR.2022.36 vom 5. Mai 2022</w:t>
      </w:r>
    </w:p>
    <w:p>
      <w:r>
        <w:t>Bundesstrafgericht, 2022-05-05, IT</w:t>
      </w:r>
    </w:p>
    <w:p>
      <w:r>
        <w:rPr>
          <w:b/>
        </w:rPr>
        <w:t xml:space="preserve">Quelle: </w:t>
      </w:r>
      <w:r>
        <w:t>https://mcp.opencaselaw.ch/entscheid/bstger_RR.2022.36</w:t>
      </w:r>
    </w:p>
    <w:p>
      <w:r>
        <w:t>FR: TPF RR.2022.36 du 5 mai 2022</w:t>
      </w:r>
    </w:p>
    <w:p>
      <w:r>
        <w:t>IT: TPF RR.2022.36 del 5 maggio 2022</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t>- 4 -</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e l’art. 18 della Convenzione delle Nazioni Unite contro la criminalità organizzata transnazio- nale, conclusa il 15 novembre 2000, entrata in vigore per l’Italia il 1° settembre 2006 e per la Svizzera il 26 novembre 2006 (RS 0.311.54). Alle questioni che il prevalente diritto internazionale contenuto in detti trattati non regola espressa- mente o implicitamente, come pure quando il diritto nazionale sia più favorevole all'assistenza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 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t>- 5 -</w:t>
      </w:r>
    </w:p>
    <w:p>
      <w:r>
        <w:rPr>
          <w:b/>
        </w:rPr>
        <w:t>E. 1.5</w:t>
      </w:r>
    </w:p>
    <w:p>
      <w:r>
        <w:t>Interposto tempestivamente contro la sopraccitata decisione di chiusura, il ri- corso è ricevibile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contesta innanzitutto l’esposto fattuale contenuto nella decisione impugnata, nella misura in cui il MPC, basandosi sulla domanda di assistenza, avrebbe effettuato una ricostruzione parziale e fuorviante dei fatti che lo hanno interessato, sia in relazione a pregresse procedure penali a suo carico che nell’ambito dell’attuale procedura in Italia, per la quale egli contesta, basandosi su di una decisione del 3 dicembre 2021 della Sezione per il riesame dei prov- vedimenti restrittivi della libertà personale e dei provvedimenti di sequestro presso il Tribunale di Palermo, l’aggravante di cui all’art. 416-bis CP/I.</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In concreto, richiamato quanto già esposto in precedenza (v. supra Fatti lett. A), nella sua rogatoria l’autorità italiana «evidenzia preliminarmente che A., noto costruttore di Palermo, aveva svolto la sua fiorente attività imprenditoriale, ini- ziata intorno al 1970, in stretto contatto con i vertici dell'associazione mafiosa denominata "Cosa nostra" e, in particolare, con i noti corleonesi H., I. e J. Si era accertato, infatti, che egli, utilizzando la propria posizione di imprenditore in con- tatto con il mondo finanziario, aveva aiutato ad occultare e investire gli ingenti</w:t>
      </w:r>
    </w:p>
    <w:p>
      <w:r>
        <w:t>- 6 -</w:t>
      </w:r>
    </w:p>
    <w:p>
      <w:r>
        <w:t>capitali illeciti della suddetta organizzazione criminale (spesso ricorrendo all'a- pertura, in Italia e all'estero, compresa la Svizzera, di conti corrente intestati a se stesso, ai suoi familiari o a terze persone), ricevendo in cambio da "Cosa nostra" favori e agevolazioni che gli consentirono una vorticosa espansione im- prenditoriale. Pertanto, A., in data 26 novembre 2001, veniva tratto in arresto per il delitto di concorso esterno in associazione mafiosa (artt. 110 e 416-bis del codice penale) e poi condannato con sentenza del Giudice per l'udienza preli- minare del Tribunale di Palermo, emessa il 30 ottobre 2006 nel procedimento 4116/1999 mod. 21, alla pena di anni 5 di reclusione (ma con successiva di- chiarazione di prescrizione del reato da parte della Corte di Appello di Palermo con sentenza del 15 aprile 2009). Ancora, con sentenza n. 1894 del 2014, di- venuta definitiva, la Corte di Appello di Milano condannava A. per il delitto di trasferimento fraudolento di valori (art. 12-quinquies della legge 7 agosto 1992 n. 356, ora art. 512-bis del codice penale) poiché, attraverso varie operazioni finanziarie, aveva occultato ingenti somme di denaro (circa 13 milioni di euro) avvalendosi, tra l'altro, dell'aiuto di K., dirigente della banca L. di Lugano (an- ch'egli condannato nel medesimo procedimento). Inoltre, con provvedimento del 20 maggio 2020, definitivo in data 14 luglio 2021, la Corte di Appello di Pa- lermo ordinava la confisca di tutto il patrimonio di A., per un valore complessivo di circa 150 milioni di euro (composto da diverse società, numerosi immobili e svariati conti corrente accesi sia in Italia che in altri Stati), poiché ritenuto pro- vento della sua attività delittuosa prima descritta. Più di recente, è stato avviato il procedimento penale n. 10948/21 Mod. 21 essendo emerso che, nonostante la confisca di tutto il suo patrimonio, A. ha ancora la disponibilità di rilevanti somme di denaro di provenienza illecita poiché accumulate grazie ai suoi rap- porti con "Cosa nostra". Tra queste somme, è stata individuata anche quella originariamente ammontante a oltre 22 milioni di euro, depositata in un conto corrente presso la banca "C." (SWIFT 1 - IBAN 2) e investita in fondi fiduciari. AI fine di occultare tale denaro e sottrarlo ai provvedimenti dell'Autorità Giudi- ziaria italiana, in data 28 luglio 2021 A. è riuscito a trasferire dal suddetto conto svizzero la somma di euro 18.399.996 spostandola presso il conto corrente ban- cario n. 3 aperto presso la banca M. Albania, succursale N., a lui intestato. In particolare, questa operazione si e realizzata grazie, innanzitutto, all’ausilio pre- stato ad A. dal commercialista palermitano B., il quale, a sua volta, si è avvalso di O., broker svizzero di origine italiana, e di P., petroliere albanese. Costoro, in cambio di una pattuita provvigione di circa 4 milioni di euro, sono riusciti a mo- netizzare la suddetta somma (investita in un fondo fiduciario) e a investire i re- stanti 4 milioni circa di euro in un bond argentino. Poi, hanno proceduto all'ac- censione di due conti correnti presso la banca M. di Tirana, uno a nome di A. e l'altro a nome di B.; quindi, in tempi rapidissimi, hanno disposto, dal conto tici- nese, il bonifico dei soldi monetizzati dal fondo fiduciario in favore del conto albanese del predetto costruttore. II programma criminoso prevedeva anche che il commercialista B., munito di apposita procura, dapprima travasasse tali somme depositate presso la banca M. sul proprio conto acceso presso lo stesso</w:t>
      </w:r>
    </w:p>
    <w:p>
      <w:r>
        <w:t>- 7 -</w:t>
      </w:r>
    </w:p>
    <w:p>
      <w:r>
        <w:t>istituto di credito e poi le trasferisse ad una società di Singapore o di Hong Kong per il tramite delia società petrolifera di P. Tuttavia, questa seconda fase del progetto non si è realizzata per l'intervento, a loro insaputa, della Procura Spe- ciale contro la Corruzione e la Criminalità Organizzata della Repubblica d'Alba- nia (S.P.A.K.) che, venuta a conoscenza dell'operazione, ha segnalato la vi- cenda a questo Ufficio di Procura. Sulla base del suddetto, grave, quadro indi- ziario e stata avanzata da questa Procura della Repubblica una richiesta di ap- plicazione di misure cautelari personali e reali, accolta dal Giudice per le Inda- gini Preliminari del Tribunale di Palermo che, con ordinanza emessa in data 10 novembre 2021, ha applicato ad A. la misura degli arresti domiciliari (in ragione della sua avanzata età) e a B. la misura della custodia in carcere, per i reati sopra riportati» (rogatoria del 19 novembre 2021, pag. 2 e seg., in rubrica 1 incarto MPC). L’autorità rogante ha aggiunto che il Giudice per le Indagini Pre- liminari del Tribunale di Palermo ha anche disposto il sequestro preventivo di diversi valori patrimoniali, tra i quali quelli “eventualmente giacenti, in qualunque forma, presso la banca C., a nome di A. o dei suoi stretti congiunti” (ibidem, pag. 3 e seg.)</w:t>
      </w:r>
    </w:p>
    <w:p>
      <w:r>
        <w:t>Quanto precede soddisfa le esigenze normative e giurisprudenziali poste in ma- teria di esposto dei fatti, indipendentemente dalla decisione del Tribunale di Pa- lermo, Sezione per il riesame dei provvedimenti restrittivi della libertà personale e dei provvedimenti di sequestro, del 3 dicembre 2021 – quindi susseguente alla rogatoria – prodotta col ricorso, che, “in parziale accoglimento della richie- sta di riesame (…) nell’interesse di A. (…) esclude, in relazione al delitto di cui al capo c), la contestata aggravante di cui all’art. 416 bis 1 cp, conferma nel resto l’impugnata ordinanza ivi compresa la misura adottata” (act. 1.4) e di cui si prende atto, senza per questo intravvedere nell’esposto dei fatti dell’autorità rogante errori, lacune o contraddizioni ai sensi della suddetta giurisprudenza (v. supra consid. 2.1 in fine). Sufficientemente chiaro risulta essere in ogni caso il ruolo attribuito al ricorrente nella vicenda. Non spetta del resto al giudice dell'as- sistenza approfondire ulteriormente la fattispecie oggetto d'inchiesta, tanto- meno ottenere le prove dei contestati reati. Sarà proprio la documentazione li- tigiosa a permettere all'autorità estera di progredire nella sua attività investiga- tiva e di acclarare ulteriormente le condotte mosse a carico dei soggetti indagati. Le censure in questo ambito vanno dunque respinte.</w:t>
      </w:r>
    </w:p>
    <w:p>
      <w:r>
        <w:rPr>
          <w:b/>
        </w:rPr>
        <w:t>E. 3</w:t>
      </w:r>
    </w:p>
    <w:p>
      <w:r>
        <w:t>L’insorgente censura la violazione del principio della doppia punibilità, nella mi- sura in cui il reato di cui all’art. 416-bis CP sarebbe già stato escluso dalla Se- zione per il riesame del Tribunale di Palermo e il prospettato reato di autorici- claggio italiano non potrebbe essere paragonato al reato di riciclaggio previsto dall’ordinamento svizzero, dal momento che il reato presupposto indicato nella rogatoria, corrispondente al reato di cui all’art. 289 CP, ossia sottrazione di cose</w:t>
      </w:r>
    </w:p>
    <w:p>
      <w:r>
        <w:t>- 8 -</w:t>
      </w:r>
    </w:p>
    <w:p>
      <w:r>
        <w:t>requisite o sequestrate, non sarebbe un crimine, e non potrebbe quindi fungere da reato a monte del riciclaggio di denaro ai sensi dell’art. 305bis CP.</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 sere caratterizzati, nelle due legislazioni toccate, dalla medesima qualificazione giuridica (DTF 124 II 184 consid. 4b/cc pag. 188). Diversamente dall'ambito estradizionale, le misure di cooperazione sono già ammesse se la condizione della doppia punibilità è ossequiata alla luce di una singola fattispecie (sentenza del Tribunale federale 1C_138/2007 del 17 luglio 2007 consid. 2.3 e rinvii; TPF 2020 30 consid. 4.2).</w:t>
      </w:r>
    </w:p>
    <w:p>
      <w:r>
        <w:rPr>
          <w:b/>
        </w:rPr>
        <w:t>E. 3.2</w:t>
      </w:r>
    </w:p>
    <w:p>
      <w:r>
        <w:t>In concreto, premesso che non tocca al giudice dell'assistenza approfondire i fatti descritti in rogatoria tantomeno statuire sulle accuse formulate dall'autorità rogante nei confronti degli indagati, si rileva che le operazioni descritte nella rogatoria possono essere sussunte al reato di riciclaggio di denaro ai sensi dell’art. 305bis CP. Contrariamente a quanto sostenuto nel ricorso, i valori og- getto delle operazioni in questione non costituiscono beni già oggetto di deci- sione di confisca, bensì nuovi valori patrimoniali scoperti dall’autorità di perse- guimento penale italiana di presunta origine criminale (v. rogatoria, pag. 3). Come rettamente osservato dal MPC in sede di risposta (v. act. 8, pag. 4), l’ag- gravante di cui all’art. 416-bis CP/I, esclusa per il ricorrente dal Tribunale di Palermo (v. supra consid. 2.2 in fine), continua a essere contestata a B., il quale è in particolare accusato di aver prestato ausilio al ricorrente per lo spostamento di EUR 18'399'996.– da un conto corrente presso la banca C. al conto corrente bancario n. 3 presso la banca M. Albania, succursale N., intestato al ricorrente, avvenuto in data 28 luglio 2021 (v. rogatoria, pag. 3). Gli atti rimproverati a B. possono dunque essere sussunti in Svizzera anche al reato di organizzazione</w:t>
      </w:r>
    </w:p>
    <w:p>
      <w:r>
        <w:t>- 9 -</w:t>
      </w:r>
    </w:p>
    <w:p>
      <w:r>
        <w:t>criminale giusta l’art. 260ter CP. Inoltre, essendo i ricorrenti accusati di trasferi- mento fraudolento di valori (v. art. 512-bis CP/I), reato che in concreto sarebbe stato commesso mediante la confezione di documenti falsi, i fatti oggetto dell’in- chiesta estera possono ugualmente essere sussunti al reato di falsità in docu- menti ai sensi dell’art. 251 CP. Visto quanto precede, il requisito della doppia punibilità è da considerarsi adempiuto. Anche questa censura va pertanto re- spinta.</w:t>
      </w:r>
    </w:p>
    <w:p>
      <w:r>
        <w:rPr>
          <w:b/>
        </w:rPr>
        <w:t>E. 4</w:t>
      </w:r>
    </w:p>
    <w:p>
      <w:r>
        <w:t>Il ricorrente sostiene che la decisione impugnata violi sia il segreto professionale dell’avvocato, dato che la stessa riguarderebbe anche atti redatti dai suoi legali avv. F. e G., sia il principio della proporzionalità, visto che detti atti risulterebbero comunque inutili per il procedimento italiano. Egli chiede quindi che determinati scritti e scambi di e-mail non vengano trasmessi all’autorità rogata e che in altri documenti i nominativi dei due legali vengano oscurati.</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necessarie o utili per il procedimento estero deve essere lasciata, di massima, all'apprezzamento delle autorità richiedenti (DTF 136 IV 82 consid. 4.1; sentenza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w:t>
      </w:r>
    </w:p>
    <w:p>
      <w:r>
        <w:t>- 10 -</w:t>
      </w:r>
    </w:p>
    <w:p>
      <w:r>
        <w:t>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(sentenza del Tribunale penale federale RR.2014.4 del 30 luglio 2014 con- sid. 2.2.2). Naturalmente è anche possibile che i conti in questione non siano stati utilizzati per ricevere proventi di reati o per effettuare trasferimenti illeciti o riciclare fondi, ma l’autorità richiedente ha comunque interesse a poterlo verifi- 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domande complementari (DTF 136 IV 82 consid. 4.1; 121 II 241 consid. 3; sentenza del Tribunale federale 1C_486/2008 dell'11 novembre 2008 con- sid. 2.4; sentenza del Tribunale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 tenziale, secondo cui la consegna giusta l'art. 74 AIMP è esclusa soltanto per quei mezzi di prova certamente privi di rilevanza per il procedimento penale all'estero (DTF 134 II 318 consid. 6.4; 126 II 258 consid. 9c; 122 II 367 con- 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 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La coopération judiciaire internatio- nale en matière pénale, 5a ediz. 2019, n. 722, pag. 798 e seg.).</w:t>
      </w:r>
    </w:p>
    <w:p>
      <w:r>
        <w:rPr>
          <w:b/>
        </w:rPr>
        <w:t>E. 4.2</w:t>
      </w:r>
    </w:p>
    <w:p>
      <w:r>
        <w:t>Nell’esecuzione della domanda, la protezione della sfera segreta è retta dalle disposizioni sul diritto di non deporre (art. 9 AIMP). La facoltà di non deporre è regolata dagli art. 168 e segg. CPP. Giusta l’art. 171 cpv. 1 CPP, la testimo- nianza può essere rifiutata su fatti coperti dal segreto professionale ai sensi dell'art. 321 n. 1 CP, il quale comprende anche il segreto professionale degli avvocati.</w:t>
      </w:r>
    </w:p>
    <w:p>
      <w:r>
        <w:t>- 11 -</w:t>
      </w:r>
    </w:p>
    <w:p>
      <w:r>
        <w:t>Gli oggetti e i documenti inerenti ai contatti tra una persona e il suo avvocato non possono essere sequestrati se l'avvocato è autorizzato a rappresentare la persona davanti ai tribunali svizzeri secondo la legge federale del 23 giugno 2000 sulla libera circolazione degli avvocati (legge sugli avvocati, LLCA; RS 935.61) e non è egli stesso imputato nel medesimo contesto fattuale. Il se- greto professionale in questione riguarda l'attività tipica dell'avvocato, la quale consiste nella consulenza giuridica, nell'allestimento di atti giuridici così come nell'assistenza o nel patrocinio di una persona dinanzi a un'autorità amministra- tiva o giudiziaria (DTF 135 III 410 consid. 3.3). Attività come la gestione di patrimoni, mandati in consigli di amministrazione o la gestione d’affari non sono coperte dal segreto professionale dell’avvocato (TPF 2008 141 consid. 4.1). L’obbligo di sostanziare l’esistenza di un segreto professionale dell’avvocato è più ampio nella procedura di assistenza internazionale, e nella rispettiva proce- dura ricorsuale, che nella procedura penale nazionale (TPF 2015 121 con- sid. 7.3).</w:t>
      </w:r>
    </w:p>
    <w:p>
      <w:r>
        <w:rPr>
          <w:b/>
        </w:rPr>
        <w:t>E. 4.3</w:t>
      </w:r>
    </w:p>
    <w:p>
      <w:r>
        <w:t>In concreto, l’utilità potenziale della documentazione litigiosa è certamente data, già solo per il fatto che il ricorrente è indagato nel procedimento estero. Il MPC ha del resto indicato che la relazione oggetto della decisione impugnata “è stata oggetto in data 26 luglio 2021 di un accredito di EUR 18’500’000 proveniente dalla relazione bancaria n. 4 intestato alla fondazione di famiglia Q. presso la banca C., fondazione di cui risulta essere fondatore A. e beneficiari D., R., S. e E. Inoltre, la relazione bancaria in questione è stata oggetto in data 28 luglio 2021 di un addebito di EUR 18'400’009.24 a favore del conto n. IBAN 5 intestato ad A. presso la banca M. di Tirana/Albania, operazione finanziaria indicata dalla autorità rogante nella domanda di assistenza giudiziaria del 19 novembre 2021” (act. 1.3, pag. 5). Le operazioni in questione necessitano di approfondimenti che l’autorità rogante deve potere effettuare, vista la natura dei reati, con l’au- silio di tutta la documentazione bancaria disponibile, al fine di ricostruire tutti i flussi patrimoniali intervenuti tra le soggettività coinvolte nelle indagini. Per quanto riguarda il segreto professionale dell’avvocato invocato dal ricorrente in relazione agli atti redatti dagli avv. F. e G. contenuti nella documentazione ban- caria litigiosa, si rileva che gli stessi, nella misura in cui concernono unicamente l’intermediazione fornita dai legali nei rapporti con la banca per l’apertura del conto e, in particolare, per la giustificazione della provenienza dei valori del ri- corrente, attività di natura commerciale che può essere fornita anche da un fi- duciario o da un gestore patrimoniale, non fanno parte dell’attività tipica dell’av- vocato (v. supra consid. 4.2). Più particolarmente, essi contengono: riassunti delle vicende processuali italiane del ricorrente (non certo segrete vis-à-vis dello Stato rogante) all’attenzione della banca per il “rapporto identificazione e profilo di rischio persona fisica” (v. atti da 003429_00240 a 003429 _00247 nonché da 003429_00247 a 00342900279 incarto MPC); uno scambio di e-mail relativo all’apertura del conto litigioso (v. atti da 003429_00280 a 003429_00281 incarto</w:t>
      </w:r>
    </w:p>
    <w:p>
      <w:r>
        <w:t>- 12 -</w:t>
      </w:r>
    </w:p>
    <w:p>
      <w:r>
        <w:t>MPC); vari formulari della banca finalizzati alla raccolta di informazioni del cliente per l’apertura di un conto bancario (v. atti da 003429_00233 a 003429_00239 incarto MPC); rapporti di visita, dove viene tra l’altro menzionato un ordine di bonifico di EUR 18’4000'000.– a favore di un conto estero del ricor- rente (v. atti da 003429_00309 a 003429 a 00310 incarto MPC). Contrariamente all’assunto ricorsuale, l’allestimento di questo tipo di documentazione bancaria non rientra nell’attività tipica dell’avvocato a prescindere dal fatto che si basi o meno su pregresse conoscenze fattuali e giuridiche acquisite nella difesa del ricorrente. Decisivo è il fatto che il tutto sia esclusivamente funzionale all’aper- tura e alla gestione di una relazione bancaria, al centro per altro della rogatoria estera. Per lo stesso motivo, la richiesta di anonimizzazione presentata dal ri- corrente a titolo subordinato deve essere disattesa.</w:t>
      </w:r>
    </w:p>
    <w:p>
      <w:r>
        <w:t>Spetterà infine al giudice estero del merito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w:t>
      </w:r>
    </w:p>
    <w:p>
      <w:r>
        <w:rPr>
          <w:b/>
        </w:rPr>
        <w:t>E. 4.4.1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t>- 13 -</w:t>
      </w:r>
    </w:p>
    <w:p>
      <w:r>
        <w:rPr>
          <w:b/>
        </w:rPr>
        <w:t>E. 4.4.2</w:t>
      </w:r>
    </w:p>
    <w:p>
      <w:r>
        <w:t>Ebbene, visto quanto esposto in precedenza (v. supra consid. 2.2 e 4.2) nonché l’importo di EUR 18'399'996.– che l’autorità rogante ha indicato essere la somma occultata e sottratta all’autorità giudiziaria italiana dal ricorrente mediante trasferimento del 28 luglio 2021 (v. supra consid. 2.2), importo deci- samente superiore ai valori qui sequestrati (saldo al 31 dicembre 2021: EUR 99'932.26; v. act. 1.3, pag. 4), è senz'altro possibile concludere che esi- stono elementi sufficienti per confermare il sequestro della relazione intestata al ricorrente. Il potenziale nesso fra il denaro sequestrato e i reati contestati al ricorrente è dato: toccherà poi all'autorità estera accertare se il denaro in que- stione è effettivamente di origine illecita. In caso affermativo, esso potrebbe fare l'oggetto di una decisione di confisca o di restituzione all'avente diritto nello Stato richiedente (v. art. 74a cpv. 1 e 2 AIMP nonché DTF 123 II 134 consid. 5c; 123 II 268 consid. 4; 123 II 595 consid. 3). In definitiva, il sequestro litigioso deve essere mantenuto di principio sino alla notifica di una decisione definitiva ed esecutiva dello Stato richiedente o fintanto che quest'ultimo non abbia comunicato che una tale decisione non può più essere pronunciata (art. 74a cpv. 3 AIMP e 33a OAIMP; TPF 2007 124 consid. 8 e rinvii), ferma restando la necessità che la procedura all'estero progredisca (DTF 126 II 462 consid. 5e). Il ricorrente non ha peraltro sostanziato nessuno sproporzionato pregiudizio economico cagionato dal sequestro, per cui anche da questo punto di vista la misura in questione non presenta sostanziali criticità. Ne consegue che il se- questro va confermato e la relativa censura respinta.</w:t>
      </w:r>
    </w:p>
    <w:p>
      <w:r>
        <w:rPr>
          <w:b/>
        </w:rPr>
        <w:t>E. 5</w:t>
      </w:r>
    </w:p>
    <w:p>
      <w:r>
        <w:t>In conclusione, il ricorso va integralmente respinto e le decisioni impugnate con- fermate.</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5'000.–, a carico del ricorrente; essa è coperta dall'anticipo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