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 vom 5. April 2022</w:t>
      </w:r>
    </w:p>
    <w:p>
      <w:r>
        <w:t>Bundesstrafgericht, 2022-04-05, FR</w:t>
      </w:r>
    </w:p>
    <w:p>
      <w:r>
        <w:rPr>
          <w:b/>
        </w:rPr>
        <w:t xml:space="preserve">Quelle: </w:t>
      </w:r>
      <w:r>
        <w:t>https://mcp.opencaselaw.ch/entscheid/bstger_RR.2022.3</w:t>
      </w:r>
    </w:p>
    <w:p>
      <w:r>
        <w:t>FR: TPF RR.2022.3 du 5 avril 2022</w:t>
      </w:r>
    </w:p>
    <w:p>
      <w:r>
        <w:t>IT: TPF RR.2022.3 del 5 aprile 2022</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https://www.fedlex.admin.ch/fr/sector-specific-agreements/EU-acts-register/ 8/8.1]; v. arrêt du Tribunal pénal fédéral RR.2008.98 du 18 décembre 2008 consid. 1.3) ainsi que les dispositions pertinentes de l’Accord de coopération entre la Confédération suisse, d’une part, et la Communauté européenne et ses États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w:t>
      </w:r>
    </w:p>
    <w:p>
      <w:r>
        <w:t>- 6 -</w:t>
      </w:r>
    </w:p>
    <w:p>
      <w:r>
        <w:t>et l’Union européenne, y compris les actes législatifs relatifs à la transposition des accords [«accords bilatéraux II»] in FF 2004 5593, 5807- 5827), appliquée provisoirement par la Suisse et la France dès le 8 avril 2009.</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ce qui est valable aussi dans le rapport entre les normes internationales (v. art. 48 ch. 2 CAAS, art. 39 ch. 2 CBl et art. 25 al. 2 de l’Accord anti-fraude). L’application de la norme la plus favorable doit avoir lieu dans le respect des droits fondamentaux (ATF 145 IV 294 consid. 2.1; 135 IV 212 consid. 2.3; 123 II 595 consid. 7c; v. arrêt du Tribunal fédéral 1C_196/2021 du 28 mai 2021 consid. 3). Les dispositions de la loi fédérale sur la procédure administrative du 20 décembre 1968 (PA; RS 172.021) sont, en outre, applicables à la présente procédure de recours (art. 12 al. 1 EIMP, art. 39 al. 2 let. b en lien avec l’art. 37 al. 2 let. a ch. 1 de la loi fédérale sur l’organisation des autorités pénales de la Confédération du 19 mars 2010 [LOAP; RS 173.71]).</w:t>
      </w:r>
    </w:p>
    <w:p>
      <w:r>
        <w:rPr>
          <w:b/>
        </w:rPr>
        <w:t>E. 1.2</w:t>
      </w:r>
    </w:p>
    <w:p>
      <w:r>
        <w:t>La Cour des plaintes du Tribunal pénal fédéral est compétente pour connaître des recours dirigés contre les décisions de clôture de la procédure d’entraide et, conjointement, contre les décisions incidentes rendues par les autorités cantonales ou fédérales d’exécution (art. 37 al. 2 let. a ch. 1 LOAP mis en relation avec les art. 25 al. 1 et 80e al. 1 EIMP).</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ce compte (v. ATF 137 IV 134 consid. 5; 130 II 162 consid. 1.1; 118 Ib 547 consid. 1d). De jurisprudence constante, cette qualité est en revanche déniée à l’ayant droit économique (ATF 129 II 268 consid. 2.3.3; arrêt du Tribunal fédéral 1A.87/2004 du 3 juin 2004 consid. 2 et les arrêts cités). Exceptionnellement, la qualité pour agir est reconnue à l’ayant droit</w:t>
      </w:r>
    </w:p>
    <w:p>
      <w:r>
        <w:t>- 7 -</w:t>
      </w:r>
    </w:p>
    <w:p>
      <w:r>
        <w:t>d’une société titulaire d’un compte bancaire lorsque celle-ci a été dissoute et liquidée, sous réserve de l’abus de droit (ATF 139 II 404 consid. 2.1.1 et les arrêts cités). Il appartient dans ce cas à l’ayant droit de prouver la liquidation, documents à l’appui (ATF 123 II 13 consid. 2c et 2d; arrêt du Tribunal fédéral 1C_122/2011 du 23 mai 2011 consid. 2; arrêt du Tribunal pénal fédéral RR.2019.73 du 21 octobre 2019 consid. 4.1 et références citées; ZIMMERMANN, La coopération judiciaire internationale en matière pénale, 5e éd. 2019, n° 529 et les références citées). Le fait que la société liquidée l’ait été en faveur de l’ayant droit économique est essentiel pour juger de la recevabilité du recours, raison pour laquelle la qualité pour recourir ne sera reconnue audit ayant droit que si l'acte de dissolution indique clairement ce dernier comme étant le bénéficiaire (arrêt du Tribunal fédéral 1C_401/2021 du 28 juillet 2021 et les nombreuses références jurisprudentielles; 1C_161/2011 du 11 avril 2011 consid. 1.3.1 et les références citées). La jurisprudence a, sur ce point, précisé que la preuve de la liquidation de la société en faveur de l’ayant droit économique pouvait être apportée par d’autres moyens que la seule attestation de dissolution (arrêts du Tribunal fédéral 1C_401/2021 précité ibidem; 1C_370/2012 du 3 octobre 2012 consid. 2.7 in fine).</w:t>
      </w:r>
    </w:p>
    <w:p>
      <w:r>
        <w:rPr>
          <w:b/>
        </w:rPr>
        <w:t>E. 1.3.2</w:t>
      </w:r>
    </w:p>
    <w:p>
      <w:r>
        <w:t>In casu, B. AG, en tant que titulaire de la relation bancaire n° 1 ouverte auprès de la banque E. dispose de la qualité pour attaquer, auprès de l’autorité de céans, la décision de clôture du MP-GE du 10 décembre 2021. Tel est également le cas de A. puisqu’il semblerait que lors de la dissolution de C. SA les actifs et passifs de la société ont été transférés à son patrimoine (v. act. 1.6, p. 2). Au contraire, C. SA, société dissoute, ne dispose pas de la qualité pour recourir. Partant, son recours est irrecevable.</w:t>
      </w:r>
    </w:p>
    <w:p>
      <w:r>
        <w:rPr>
          <w:b/>
        </w:rPr>
        <w:t>E. 1.4</w:t>
      </w:r>
    </w:p>
    <w:p>
      <w:r>
        <w:t>Le délai de recours contre la décision de clôture est de 30 jours dès la communication écrite de celle-ci (art. 80k EIMP). Interjeté le 11 janvier 2022, contre une décision de clôture du 10 décembre 2021, le recours a été interjeté en temps utile.</w:t>
      </w:r>
    </w:p>
    <w:p>
      <w:r>
        <w:rPr>
          <w:b/>
        </w:rPr>
        <w:t>E. 1.5</w:t>
      </w:r>
    </w:p>
    <w:p>
      <w:r>
        <w:t>Au vu de ce qui précède, il convient, dans les limites qui viennent d’être précisées (supra consid. 1.3.2), d’entrer en matière sur le fond.</w:t>
      </w:r>
    </w:p>
    <w:p>
      <w:r>
        <w:rPr>
          <w:b/>
        </w:rPr>
        <w:t>E. 2.1</w:t>
      </w:r>
    </w:p>
    <w:p>
      <w:r>
        <w:t>À titre liminaire, il convient de souligner que, de jurisprudence constante,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w:t>
      </w:r>
    </w:p>
    <w:p>
      <w:r>
        <w:t>- 8 -</w:t>
      </w:r>
    </w:p>
    <w:p>
      <w:r>
        <w:t>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Kommentar zum Bundes- gesetz über das Verwaltungsverfahren, 2e éd. 2019, p. 487, 488; WALDMANN/ BICKEL, in Waldmann/Weissenberger [édit.], Praxiskommentar Verwaltungs- 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rPr>
          <w:b/>
        </w:rPr>
        <w:t>E. 2.2</w:t>
      </w:r>
    </w:p>
    <w:p>
      <w:r>
        <w:t>En l’espèce, A. et B. AG concluent que, dans l’hypothèse où la commission rogatoire des autorités françaises était admise, il conviendrait d’ordonner au MP-GE de transmettre, outre les pièces mentionnées dans l’ordonnance de clôture querellée, certains documents dont ils font expressément référence. Une telle conclusion, formulée dans leur réplique, est toutefois irrecevable, et cela à double titre. D’une part, elle est tardive puisqu’elle aurait – déjà – dû figurer dans le mémoire de recours, les prénommés ne prétendant pas qu’ils n’auraient eu connaissance de ces pièces (qui les concernent directement) qu’à la suite du dépôt de leur recours. Secondement, lorsqu’une partie souhaite faire parvenir aux autorités étrangères des documents pas demandés par la requête d’entraide, elle lui appartient, le cas échéant, de les transmettre directement.</w:t>
      </w:r>
    </w:p>
    <w:p>
      <w:r>
        <w:rPr>
          <w:b/>
        </w:rPr>
        <w:t>E. 3</w:t>
      </w:r>
    </w:p>
    <w:p>
      <w:r>
        <w:t>Dans un grief, qu’il convient de traiter en premier lieu compte tenu de sa nature formelle (ATF 137 I 195 consid. 2.2), les recourants allèguent la violation de leur droit d’être entendus. Ils estiment que la commission rogatoire française est insuffisamment motivée et que nonobstant cela le MP-GE a rejeté leur requête tendant à ce que des précisions soient requises aux autorités requérantes (act. 1, p. 13).</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w:t>
      </w:r>
    </w:p>
    <w:p>
      <w:r>
        <w:t>- 9 -</w:t>
      </w:r>
    </w:p>
    <w:p>
      <w:r>
        <w:t>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RR.2017.42-46 du 22 août 2017 consid. 3.1). Il suffit donc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t>- 10 -</w:t>
      </w:r>
    </w:p>
    <w:p>
      <w:r>
        <w:rPr>
          <w:b/>
        </w:rPr>
        <w:t>E. 3.2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op. cit., n° 472, p. 509-510).</w:t>
      </w:r>
    </w:p>
    <w:p>
      <w:r>
        <w:rPr>
          <w:b/>
        </w:rPr>
        <w:t>E. 3.3</w:t>
      </w:r>
    </w:p>
    <w:p>
      <w:r>
        <w:t>In casu, le MP-GE a considéré qu’au vu du contenu suffisamment explicite de la commission rogatoire internationale, il ne se justifiait pas de demander d’autres précisions aux autorités requérantes. Cette motivation, certes sommaire, s’avère toutefois suffisante puisqu’elle renvoie implicitement aux informations contenues dans la demande d’entraide et qui ont permis aux autorités helvétiques de considérer, dans leur décision d’entrée en matière du 26 juillet 2021, que tant les conditions formelles que matérielles requises étaient remplies. Partant, les exigences rappelées plus haut sont données (supra consid. 3.1). Les recourants, assistés d’un mandataire professionnel, ont d’ailleurs été en mesure d’apprécier l’étendue de la procédure et la portée des décisions prises dans ce contexte. Ils ont ainsi pu soulever, auprès de la Cour de céans, des griefs précis et argumentés, en particulier, quant aux raisons pour lesquelles des informations supplémentaires devraient, selon eux, être requises aux autorités françaises (v. infra consid. 4). Dans ces circonstances, le grief tiré de la violation du droit d’être entendu, privé de fondement, doit être écarté.</w:t>
      </w:r>
    </w:p>
    <w:p>
      <w:r>
        <w:t>- 11 -</w:t>
      </w:r>
    </w:p>
    <w:p>
      <w:r>
        <w:rPr>
          <w:b/>
        </w:rPr>
        <w:t>E. 4</w:t>
      </w:r>
    </w:p>
    <w:p>
      <w:r>
        <w:t>Dans un premier grief, les recourants considèrent que la commission rogatoire française ne contient pas d’éléments concrets qui prouveraient que les comptes bancaires des sociétés C. SA et B. AG auraient servi à D. pour l’éventuelle commission d’infractions pénales en matière fiscale. De surcroît, tant A. que les deux sociétés précitées ne présenteraient aucun lien fiscal avec la France pendant les périodes concernées par la demande d’entraide en matière pénale. Partant, le MP-GE aurait violé le droit en retenant qu’il n’apparaissait pas nécessaire de requérir aux autorités françaises des précisions supplémentaires quant à la pertinence de la transmission des informations bancaires les concernant. La cause devrait dès lors être renvoyée aux autorités genevoises afin qu’elles interpellent l’État requérant (act. 1, p. 12 à 14).</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l’État requérant un exposé complet et exempt de toute lacune, puisque la procédure d’entraide a précisément pour but d’apporter aux autorités de l’État requérant des renseignements au sujet des points demeurés obscurs (ATF 117 Ib 64 consid. 5c et les arrêts cités). Les indications fournies à ce titre doivent simplement suffire pour vérifier que la demande n’est pas d’emblée inadmissible (ATF 116 Ib 96 consid. 3a; arrêt du Tribunal pénal fédéral RR.2007.122 du 29 octobre 2007 consid. 4). Dans le cadre d’une demande d’entraide judiciaire, il convient effectivement de garder à l’esprit que la démarche de l’autorité étrangère vise à compléter, par les renseignements requis, les investigations qu’elle mène (ZIMMERMANN, op. cit., n° 293, p. 310), ceux-ci pouvant s’avérer, suite à leur examen par le juge étranger – et non par celui de l’État requis –, pertinents ou non et, le cas échéant, constituer des éléments à charge ou à décharge.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précité consid. 3.2 et la référence citée). Elle peut ainsi faire valoir de simples soupçons sans avoir à prouver les faits qu’elle allègue (arrêt du Tribunal</w:t>
      </w:r>
    </w:p>
    <w:p>
      <w:r>
        <w:t>- 12 -</w:t>
      </w:r>
    </w:p>
    <w:p>
      <w:r>
        <w:t>fédéral 1C_446/2020 du 30 septembre 2020 consid. 2.2). Quant à l’autorité helvétique, elle n’a pas à se prononcer sur la réalité des faits évoqués dans la demande, car elle ne peut que déterminer si, tels qu’ils sont présentés, ils constituent une infraction. Cette autorité ne peut s’écarter des faits décrits par l’État requérant qu’en cas d’erreurs, lacunes ou contradictions évidentes et immédiatement établies (ATF 133 IV 76 consid. 2.2; 126 II 495 consid. 5e/aa; 118 Ib 111 consid. 5b).</w:t>
      </w:r>
    </w:p>
    <w:p>
      <w:r>
        <w:rPr>
          <w:b/>
        </w:rPr>
        <w:t>E. 4.2</w:t>
      </w:r>
    </w:p>
    <w:p>
      <w:r>
        <w:t>En l’espèce, outre les faits déjà mentionnés plus haut (v. supra let. A), la requête d’assistance précise, notamment, que l’activité exercée par le prénommé aurait eu lieu par le biais de nombreuses structures étrangères; que les éléments à disposition des autorités laissent penser que la société britannique B. Ltd aurait pris le relais de C. SA lors de la supervision de la majorité des opérations commerciales liées à D.; que la société suisse B. AG dont D. était l’ayant droit économique – en dépit des attestations et contrats de fiducie qu’il avait produits aux autorités fiscales françaises – était régulièrement référencée sur des documents concernant la société anglaise précitée, ce qui était évocateur d’une volonté de maintenir une certaine confusion et de faciliter des versements entre l’une et l’autre société; qu’une partie du patrimoine de B. AG aurait été financée par les fonds de B. Ltd, ce qui justifiait l’utilisation et le maintien d’une dénomination commerciale commune; que les enquêteurs ont découvert des preuves que D. détenait l’ensemble des parts de B. AG dans un coffre en Suisse, que les parts au porteur de C. SA ont été saisies dans une villa cannoise; que l’enquête établirait que B. AG avait un rôle central lors du financement de biens immobiliers en France via des prêts inter-sociétés financés par C. SA; que D. aurait, à la suite des perquisitions menées en France et au Luxembourg, entamé une procédure de régularisation auprès de ces deux pays et organisé la liquidation de l’ensemble de ses sociétés européennes et le transfert des actifs des sociétés commerciales luxembourgeoises à A.; que lors de la procédure de régularisation D. aurait fourni des extraits de ses comptes personnels, mais non des comptes des sociétés, masquant ou effaçant des informations sur les documents et justifiant ce procédé par le fait qu’il s’agissait de comptes de tiers sans toutefois préciser les raisons pour lesquelles ces comptes devraient être extournés de ceux des sociétés; que s’agissant des comptes C. SA et B. AG, des relevés ainsi que des attestations de « conformité fiscale FATCA » avaient été transmis par D. aux autorités françaises; que ces documents n’étaient toutefois ni signés ni datés et qu’ils semblaient être des faux dès lors qu’ils indiquaient dans le champ « bénéficiaire » l’inscription manuscrite « A. »; que dite inscription semblait avoir été réalisée a posteriori; qu’un document découvert lors des perquisitions mentionnait D. comme étant l’ayant droit économique du compte de la société C. SA; et, que le préjudice causé au fisc français</w:t>
      </w:r>
    </w:p>
    <w:p>
      <w:r>
        <w:t>- 13 -</w:t>
      </w:r>
    </w:p>
    <w:p>
      <w:r>
        <w:t>résultait de la dissimulation d’un patrimoine immobilier conséquent via un montage utilisant principalement des ressources de sociétés étrangères et le blanchiment d’une partie de celles-ci par le biais de prêts consentis via la société B. AG.</w:t>
      </w:r>
    </w:p>
    <w:p>
      <w:r>
        <w:t>Compte tenu des éléments qui précèdent, A. et B. AG ne peuvent pas être suivis lorsqu’ils s’en prennent à la motivation de la commission rogatoire française. Contrairement à ce que les prénommés semblent soutenir, les autorités françaises ont décrit à satisfaction le complexe de fait sous enquête et les liens entre D. et les recourants. C’est d’ailleurs en se fondant sur ces faits que le MP-GE a retenu, le 26 juillet 2021, que la commission rogatoire répond aux conditions formelles et matérielles requises (art. 2, 3 et 14 CEEJ; art. 2 ss, 28 et 75 EIMP) et que les autorités requérantes ont fait état de soupçons suffisants quant à la commission d’une escroquerie fiscale. La Cour de céans ne voit d’ailleurs pas en quoi l’argumentation présentée par A. et B. AG serait à même de démontrer un quelconque manquement ou omission imputable aux autorités requérantes ou au MP-GE. Aucun grief n’est d’ailleurs soulevé par les prénommés en ce qui concerne les raisons pour lesquelles les conditions ayant permis au MP-GE d’entrer en matière ne sont pas ou plus respectées. Partant, privé d’assise juridique, le présent grief doit être rejeté.</w:t>
      </w:r>
    </w:p>
    <w:p>
      <w:r>
        <w:rPr>
          <w:b/>
        </w:rPr>
        <w:t>E. 5</w:t>
      </w:r>
    </w:p>
    <w:p>
      <w:r>
        <w:t>Dans un deuxième grief, les recourants semblent reprocher aux autorités françaises une manière d’agir contraire au principe de la confiance. Ils estiment qu’elles auraient fait preuve de mauvaise foi en omettant sciemment de mentionner, dans leur commission rogatoire, que les mesures entreprises au Luxembourg auraient permis de démontrer que A. est l’ayant droit de la société C. SA (act. 1, p. 11).</w:t>
      </w:r>
    </w:p>
    <w:p>
      <w:r>
        <w:rPr>
          <w:b/>
        </w:rPr>
        <w:t>E. 5.1</w:t>
      </w:r>
    </w:p>
    <w:p>
      <w:r>
        <w:t>Selon le principe de la bonne foi, les États sont tenus d’exécuter les obligations que leur imposent les traités, en s’abstenant de tout acte contrecarrant l’objet ou le but de ceux-ci (ZIMMERMANN, op. cit., n° 190; v. ATF 143 II 224 consid. 6.3). La bonne foi est ainsi le corollaire d’un principe plus général, celui de la confiance, lequel suppose que les rapports juridiques se fondent et s’organisent sur une base de loyauté (MALINVERNI/ HOTTELIER/HERTIG RANDALL/FLÜCKIGER, Droit constitutionnel suisse, 4e éd. 2021, Vol. II, n° 1291). La bonne foi doit être respectée par les États dans l’accomplissement de leurs devoirs internationaux (ATF 121 I 181 consid. 2c et référence citée) et, dans ce contexte, il n’appartient pas à l’État requis de remettre en cause les déclarations de l’État requérant, sous réserve d’éventuelles contradictions manifestes (ATF 121 I 181 consid. 2c/aa; arrêt du Tribunal fédéral 1C_381/2021 du 1er septembre 2021</w:t>
      </w:r>
    </w:p>
    <w:p>
      <w:r>
        <w:t>- 14 -</w:t>
      </w:r>
    </w:p>
    <w:p>
      <w:r>
        <w:t>consid. 4.4 et références citées [en matière d’extradition]). En application des principes susmentionnés, qui régissent les relations entre les États, il est généralement admis que l’État requis se fie aux explications fournies par l’État requérant (v. ATF 144 II 206 consid. 4.4; arrêt du Tribunal pénal fédéral RR.2021.267-269 du 10 février 2022 consid. 4.1).</w:t>
      </w:r>
    </w:p>
    <w:p>
      <w:r>
        <w:rPr>
          <w:b/>
        </w:rPr>
        <w:t>E. 5.2</w:t>
      </w:r>
    </w:p>
    <w:p>
      <w:r>
        <w:t>Lorsqu’une violation du principe de la bonne foi est alléguée, il appartient à celui qui l’invoque de démontrer clairement l’atteinte. Il ne saurait ainsi se borner à de pures affirmations, si détaillées soient-elles (ATF 117 Ib 337 consid. 2b). In casu, la commission rogatoire française fait expressément référence aux perquisitions qui ont été menées tant au Luxembourg que sur le territoire français. Dans ces circonstances, que certains des éléments obtenus lors de celles-ci ne soient pas expressément mentionnés dans la requête d’assistance adressée aux autorités helvétiques ne suffit pas à retenir un quelconque comportement contraire à la bonne foi, la CEEJ prévoyant explicitement que les demandes d’entraide doivent être accompagnées d’un « exposé sommaire des faits » (art. 14 al. 2 CEEJ). Au vu de ce qui précède, ce grief, privé de fondement, est rejeté.</w:t>
      </w:r>
    </w:p>
    <w:p>
      <w:r>
        <w:rPr>
          <w:b/>
        </w:rPr>
        <w:t>E. 6</w:t>
      </w:r>
    </w:p>
    <w:p>
      <w:r>
        <w:t>Dans un dernier grief, A. et B. AG se prévalent d’une violation du principe de la proportionnalité. Ils considèrent que la transmission des documents bancaires concernant C. SA et B. AG dénote la volonté des autorités étrangères d’effectuer une recherche indéterminée de preuves (fishing expedition), les sociétés précitées n’ayant aucun lien économique avec D. Les avoirs contenus dans les comptes dont la transmission des informations est envisagée auraient été, d’après les recourants, exclusivement détenus par A. Quant aux opérations effectuées par l’intermédiaire de D., elles auraient été effectuées en faveur de A. Les actes requis par les autorités françaises n’auraient dès lors aucun rapport avec les infractions poursuivies et seraient impropres à faire progresser l’enquête. De surcroît, puisque la procédure d’entraide pénale vise uniquement des faits reprochés à D., la transmission de leurs informations ne serait d’aucune utilité à l’enquête pénale qui est menée en France (act. 1, p. 9 à 12; act. 12, p. 4).</w:t>
      </w:r>
    </w:p>
    <w:p>
      <w:r>
        <w:rPr>
          <w:b/>
        </w:rPr>
        <w:t>E. 6.1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Le principe de la proportionnalité interdit à l’autorité suisse d’aller au-delà des requêtes qui lui</w:t>
      </w:r>
    </w:p>
    <w:p>
      <w:r>
        <w:t>- 15 -</w:t>
      </w:r>
    </w:p>
    <w:p>
      <w:r>
        <w:t>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136 IV 82 consid. 4.1; 121 II 241 consid. 3a; arrêt du Tribunal pénal fédéral RR.2009.286-287 du 10 février 2010 consid. 4.1).</w:t>
      </w:r>
    </w:p>
    <w:p>
      <w:r>
        <w:rPr>
          <w:b/>
        </w:rPr>
        <w:t>E. 6.2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Les autorités helvétiques sont donc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En outre, l’octroi de l’entraide n’implique pas que la personne soumise à une mesure de contrainte dans l’État requis soit elle-même accusée dans l’État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(arrêts du Tribunal fédéral 1A.218/2002 du 9 janvier 2003 consid. 3.2; 1A.70/2002 du 3 mai 2002 consid. 4.3; arrêt du Tribunal pénal fédéral RR.2013.301 du 22 mai 2014 consid. 6.2).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précité consid. 3.1 et références citées; ZIMMERMANN, op. cit., n° 723, p. 798 ss).</w:t>
      </w:r>
    </w:p>
    <w:p>
      <w:r>
        <w:t>- 16 -</w:t>
      </w:r>
    </w:p>
    <w:p>
      <w:r>
        <w:rPr>
          <w:b/>
        </w:rPr>
        <w:t>E. 6.3</w:t>
      </w:r>
    </w:p>
    <w:p>
      <w:r>
        <w:t>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l’État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mais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w:t>
      </w:r>
    </w:p>
    <w:p>
      <w:r>
        <w:rPr>
          <w:b/>
        </w:rPr>
        <w:t>E. 6.4</w:t>
      </w:r>
    </w:p>
    <w:p>
      <w:r>
        <w:t>In casu, les autorités françaises enquêtent sur des faits qui, sous l’angle du droit helvétique, peuvent être qualifiés d’escroquerie fiscale (art. 14 de la loi fédérale sur le droit pénal administratif du 22 mars 1974 [DPA; RS 313.0]) et de blanchiment d’argent (art. 305bis du Code pénal suisse du 21 décembre 1937 [CP; RS 311.0]). D’après dites autorités, l’exploitation des informations bancaires concernant, entre autres, C. SA et B. AG sont de nature à permettre, notamment, l’identification du financement de divers biens immobiliers ainsi que l’identification du bénéficiaire économique réel de B. AG puisqu’il ressort des éléments à leur disposition que D. aurait, par des omissions et manquements déclaratifs aggravés par l’interposition de structures et de comptes bancaires situés à l’étranger, causé d’importants préjudices au fisc français. Dans ce contexte, le seul fait que les autorités françaises aient expressément requis la transmission des informations concernant les comptes nos 1 et 2 ouverts aux noms de, respectivement, B. AG et C. SA justifie déjà, à lui seul, la transmission des informations requises. La Cour de céans relève, par surabondance, que la seule mention de D. dans la documentation bancaire ou dans les relevés du compte n° 1</w:t>
      </w:r>
    </w:p>
    <w:p>
      <w:r>
        <w:t>- 17 -</w:t>
      </w:r>
    </w:p>
    <w:p>
      <w:r>
        <w:t>(opérations des 16 janvier, 25 avril, 31 mai 2017, 6 février 2018, etc.) peut déjà s’avérer utile à faire progresser l’enquête en France. Idem s’agissant de la relation bancaire n° 2, le nom de D. figurant dans divers documents. Il en découle qu’il se justifie de transmettre la documentation bancaire ayant trait aux relations bancaires susmentionnées. Les autorités françaises disposent incontestablement d’un intérêt concret à pouvoir consulter la documentation précitée, l’objectif étant de leur permettre de poursuivre leurs investigations tout en ayant à leur disposition des éléments qui pourraient s’avérer pertinents tant à une instruction à charge qu’à décharge. N’en déplaise aux recourants, il s’ensuit que leur grief tiré d’une atteinte au principe de la proportionnalité (fishing expedition) est mal fondé et doit être rejeté.</w:t>
      </w:r>
    </w:p>
    <w:p>
      <w:r>
        <w:rPr>
          <w:b/>
        </w:rPr>
        <w:t>E. 7</w:t>
      </w:r>
    </w:p>
    <w:p>
      <w:r>
        <w:t>Au vu de l’ensemble des considérations qui précèdent, le recours est rejeté, dans la mesure de sa recevabilité.</w:t>
      </w:r>
    </w:p>
    <w:p>
      <w:r>
        <w:rPr>
          <w:b/>
        </w:rPr>
        <w:t>E. 8</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En l’espèce, dans la mesure ou les recourants succombent, ils supporteront solidairement les frais du présent arrêt, lesquels sont fixés à CHF 10'000.--, intégralement couverts par l’avance de frais déjà versée.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