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RR.2022.233 vom 7. November 2023</w:t>
      </w:r>
    </w:p>
    <w:p>
      <w:r>
        <w:t>Bundesstrafgericht, 2023-11-07, DE</w:t>
      </w:r>
    </w:p>
    <w:p>
      <w:r>
        <w:rPr>
          <w:b/>
        </w:rPr>
        <w:t xml:space="preserve">Quelle: </w:t>
      </w:r>
      <w:r>
        <w:t>https://mcp.opencaselaw.ch/entscheid/bstger_RR.2022.233</w:t>
      </w:r>
    </w:p>
    <w:p>
      <w:r>
        <w:t>FR: TPF RR.2022.233 du 7 novembre 2023</w:t>
      </w:r>
    </w:p>
    <w:p>
      <w:r>
        <w:t>IT: TPF RR.2022.233 del 7 novembre 2023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zur Anwendung (TPF 2009 111 E. 1.2 S. 113). Günstigere Bestimmungen bilateraler oder multilateraler Übereinkünfte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w:t>
      </w:r>
    </w:p>
    <w:p>
      <w:r>
        <w:t>- 7 -</w:t>
      </w:r>
    </w:p>
    <w:p>
      <w:r>
        <w:t>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w:t>
      </w:r>
    </w:p>
    <w:p>
      <w:r>
        <w:t>Bei der rechtshilfeweisen Herausgabe von Beweismitteln im Sinne von Art. 74 IRSG wird im Falle der Erhebung von Konteninformationen der jewei- lige Kontoinhaber als persönlich und direkt betroffen (im Sinne von Art. 80h lit. b und Art. 21 Abs. 3 IRSG) angesehen (Art. 9a lit. a IRSV), im Falle von Hausdurchsuchungen der jeweilige Eigentümer oder Mieter (Art. 9a lit. b IRSV). Das Analoge gilt nach der Rechtsprechung für Personen, gegen die – im Rechtshilfeverfahren – unmittelbar Zwangsmassnahmen angeordnet werden (BGE 128 II 211 E. 2.3 S. 217; 123 II 153 E. 2b S. 157).</w:t>
      </w:r>
    </w:p>
    <w:p>
      <w:r>
        <w:t>Bei Beweismitteln, die sich aufgrund eines nationalen Strafverfahrens bereits im Besitz einer schweizerischen Strafverfolgungsbehörde befinden, sind – im Rechtshilfeverfahren – keine Zwangsmassnahmen erforderlich (BGE 126 II 462 E. 4b). Diesfalls besteht die Rechtshilfemassnahme im Beizug dieser Beweismittel aus den schweizerischen Strafakten und die anschliessende Anordnung der rechtshilfeweisen Herausgabe der beigezogenen Beweismit- tel an die ersuchende Behörde. Ordnet die ausführende Behörde die rechts- hilfeweise Herausgabe von Akten eines schweizerischen Strafverfahrens</w:t>
      </w:r>
    </w:p>
    <w:p>
      <w:r>
        <w:t>- 8 -</w:t>
      </w:r>
    </w:p>
    <w:p>
      <w:r>
        <w:t>oder Teilen davon an, vermag der Umstand, dass in jenem Verfahren unmit- telbar Zwangsmassnahmen angeordnet worden waren, per se nicht die Le- gitimation der von jenen Zwangsmassnahmen betroffenen Person zur Be- schwerde im Rahmen der Rechtshilfe zu begründen. Nach der Rechtspre- chung gilt es mit Blick auf die Beschwerdelegitimation nach Inhalt der zu übermittelnden Aktenstücke und weiteren Umständen zu differenzieren (Ent- scheid des Bundestrafgerichts RR.2021.35 vom 2. November 2022 E. 2.3).</w:t>
      </w:r>
    </w:p>
    <w:p>
      <w:r>
        <w:rPr>
          <w:b/>
        </w:rPr>
        <w:t>E. 2.2.2</w:t>
      </w:r>
    </w:p>
    <w:p>
      <w:r>
        <w:t>In der angefochtenen Schlussverfügung wurde die rechtshilfeweise Heraus- gabe des im nationalen Strafverfahren erhobenen Wangenschleimhautab- strichs des Beschwerdeführers vom 28. März 2022 sowie von zwei dazuge- hörigen Unterlagen (DNA-Merkblatt zur Lagerhaltung des Forensischen In- stituts Zürich Formular vom 29. März 2022 und Erkennungsdienstliche Er- fassung / Antrag DNA-Profilerstellung vom 28. März 2022) samt Übermitt- lungsschreiben der Staatsanwaltschaft Limmattal / Albis angeordnet (s. supra lit. I).</w:t>
      </w:r>
    </w:p>
    <w:p>
      <w:r>
        <w:t>Die Entnahme eines Wangenschleimhautabstrichs stellt keinen invasiven Eingriff in die körperliche Sphäre dar und die Erstellung eines DNA-Profils auf der Basis eines Wangenschleimhautabstrichs kommt einer erkennungs- dienstlichen Massnahme gleich. Erkennungsdienstliche Massnahmen und die Aufbewahrung der Daten stellen nach der Rechtsprechung einen leichten Eingriff in das Recht auf persönliche Freiheit (Art. 10 Abs. 2 BV), auf infor- mationelle Selbstbestimmung und auf Familienleben (Art. 13 Abs. 2 BV und Art. 8 EMRK) dar (BGE 147 I 372 E. 2.2 bzw. offen gelassen in E. 2.3.3, ob mit Bezug auf den Eingriff in die informationelle Selbstbestimmung an der bisherigen Rechtsprechung festgehalten werden kann; 145 IV 263 E. 3.4; 134 III 241 E. 5.4.3 S. 247; 128 II 259 E. 3.3 S. 269 f.; Urteile des Bundes- gerichts 1B_324/2013 vom 24. Januar 2014 E. 3.2.2; 1B_57/2013 vom 2. Juli 2013 E. 3.2).</w:t>
      </w:r>
    </w:p>
    <w:p>
      <w:r>
        <w:t>Wie bereits ausgeführt, befanden sich vorliegend die streitigen Beweismittel aufgrund eines nationalen Strafverfahrens im Besitz einer schweizerischen Strafverfolgungsbehörde (s. supra lit. C), weshalb diesbezüglich der Be- schwerdeführer im Rechtshilfeverfahren nicht durch eine Zwangsmass- nahme unmittelbar und direkt betroffen war.</w:t>
      </w:r>
    </w:p>
    <w:p>
      <w:r>
        <w:t>Allerdings ist vorliegend zu berücksichtigen, dass in der Schweiz vom Wan- genschleimhautabstrich des Beschwerdeführers kein DNA-Profil erstellt wor- den ist und aus erkennungsdienstlicher Sicht der Wangenschleimhautab- strich für sich allein noch keine Aussagekraft hat. Erst die Analyse des Wan- genschleimhautabstrichs durch einen Sachverständigen liefert das ge- wünschte DNA-Identifizierungsmuster ihres Trägers. In casu soll die im</w:t>
      </w:r>
    </w:p>
    <w:p>
      <w:r>
        <w:t>- 9 -</w:t>
      </w:r>
    </w:p>
    <w:p>
      <w:r>
        <w:t>schweizerischen Strafverfahren – mit der Abnahme des Wangenschleim- hautabstrichs – begonnene Zwangsmassnahme mit der Erstellung des DNA- Profils im deutschen Strafverfahren abgeschlossen werden.</w:t>
      </w:r>
    </w:p>
    <w:p>
      <w:r>
        <w:t>Aus diesem Grund hat der Beschwerdeführer als durch eine Zwangsmass- nahme im Rechtshilfeverfahren unmittelbar und direkt betroffen zu gelten. Die übrigen Eintretensvoraussetzungen geben zu keinen Bemerkungen An- lass.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im Rechtshilfeersuchen und im Beschluss des deutschen Amtsgerichts werde nicht dargelegt, woraus sich ein Tatverdacht gegen den Beschwerdeführer ergeben solle. Eine hinreichend präzise Um- schreibung der Verdachtsgründe, wie es die Rechtsprechung verlange, könne darin nicht erkannt werden (act. 1 S. 8 ff.). Andernfalls könnten gegen jede Person Zwangsmassnahmen ergriffen werden und eine «fishing expe- dition» würde zugelassen (act. 1 S. 12).</w:t>
      </w:r>
    </w:p>
    <w:p>
      <w:r>
        <w:rPr>
          <w:b/>
        </w:rPr>
        <w:t>E. 4.2</w:t>
      </w:r>
    </w:p>
    <w:p>
      <w:r>
        <w:t>In diesem Zusammenhang macht der Beschwerdeführer des Weiteren eine Verletzung der Begründungspflicht geltend (act. 1 S. 7). So habe die Be- schwerdegegnerin in der Schlussverfügung nicht ausgeführt, woraus sie einen Tatverdacht gegen ihn erkenne. Es werde nicht dargetan, auf welche im Rechtshilfeersuchen oder im darin erwähnten Beschluss aufgeführten</w:t>
      </w:r>
    </w:p>
    <w:p>
      <w:r>
        <w:t>- 10 -</w:t>
      </w:r>
    </w:p>
    <w:p>
      <w:r>
        <w:t>Umstände abgestellt worden sei und von welchen Überlegungen sich die Vorinstanz habe leiten lassen (act. 1 S. 7).</w:t>
      </w:r>
    </w:p>
    <w:p>
      <w:r>
        <w:rPr>
          <w:b/>
        </w:rPr>
        <w:t>E. 4.3</w:t>
      </w:r>
    </w:p>
    <w:p>
      <w:r>
        <w:t>Gemäss Art. 14 EUeR müssen die Rechtshilfeersuchen insbesondere Anga- ben über den Gegenstand und den Grund des Ersuchens enthalten (Ziff. 1 lit. b). Ausserdem müssen sie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2015 110 E. 5.2.1 S.112; TPF 2011 194 E. 2.1 S. 195 f.).</w:t>
      </w:r>
    </w:p>
    <w:p>
      <w:r>
        <w:rPr>
          <w:b/>
        </w:rPr>
        <w:t>E. 4.4</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4.5</w:t>
      </w:r>
    </w:p>
    <w:p>
      <w:r>
        <w:t>Dem deutschen Rechtshilfeersuchen und beigelegten Beschluss des deut- schen Amtsgerichts ist folgender Sachverhaltsvorwurf zu entnehmen (Ver- fahrensakten; Urk. 1 und 2/1):</w:t>
      </w:r>
    </w:p>
    <w:p>
      <w:r>
        <w:t>Am 25. Juni 2011 gegen 02:30 Uhr habe die Geschädigte B. die Discothek «D.» in X. (DE) verlassen und sei zu Fuss zum Grenzübergang X. (DE)-</w:t>
      </w:r>
    </w:p>
    <w:p>
      <w:r>
        <w:t>- 11 -</w:t>
      </w:r>
    </w:p>
    <w:p>
      <w:r>
        <w:t>W. (CH) gegangen, um über diesen nach V. (CH) zu gelangen. In W. (CH) habe der zufällig vorbeifahrende Beschwerdeführer (A.) mit seinem schwar- zen Geländewagen neben der Geschädigten angehalten und gefragt, ob er sie mitnehmen solle. Die Geschädigte habe das Angebot angenommen und sei in den Pkw eingestiegen. Entgegen seines Angebotes, die Geschädigte nach V. (CH) zu fahren, habe der Beschwerdeführer jedoch umgedreht und sei über die Z.-strasse in Richtung U. (DE) gefahren, wobei er nie die Absicht gehabt habe, die Geschädigte nach V. (CH) zu bringen, sondern vielmehr mit ihr an einer entlegenen Stelle den Geschlechtsverkehr habe vollziehen wollen. Dabei habe er angegeben, beim Schnellrestaurant E. noch etwas zu Essen besorgen zu wollen. Da die Geschädigte schon zu diesem Zeitpunkt dies nicht gewollt habe, habe der Beschwerdeführer die Zentralverrieglung betätigt, damit der Geschädigten ein Verlassen des Fahrzeugs, auch auf- grund der Geschwindigkeit desselben, unmöglich sein sollte. An einem Waldparkplatz an der Z.-strasse auf der Gemarkung Y. (DE) habe der Be- schwerdeführer das Fahrzeug angehalten, den Beifahrersitz herunter ge- stellt, sich über die Geschädigte gebeugt und ihr die Strumpfhose sowie ihren Slip herunter gestreift. Zuvor habe er der Geschädigten mit den Worten «Das ist nur ein Spiel» die Augen verbunden. Obwohl die Geschädigte ihren entgegen stehenden Willen geäussert habe und dies der Beschwerdeführer erkannt habe, habe dieser vaginal den Geschlechtsverkehr an der Geschä- digten ausgeübt, welche sich aufgrund eines aus der Situation resultieren- den Schocks nicht physisch zur Wehr habe setzen können. Anschliessend habe der Beschwerdeführer mit seinem Mobiltelefon Fotos vom Vaginalbe- reich der Geschädigten angefertigt. Als der Beschwerdeführer im Anschluss das Fahrzeug verlassen habe, um sich seine Kleidung wieder anzuziehen, habe die Geschädigte die Gelegenheit benutzt, fluchtartig das Fahrzeug ver- lassen und sei teilweise barfuss die Z.-strasse in Richtung ZZ. (DE) und von dort auf die YY.-strasse gerannt, wo sie ein vorbeifahrendes Fahrzeug zum Anhalten gebracht habe. Dieser Tatverdacht gegen den Beschwerdeführer bestehe aufgrund der bisherigen Ermittlungen, insbesondere der im Jahre 2011 gesicherten daktyloskopischen Spur und der auf ihn weitgehend zutref- fenden äusserlichen Beschreibung.</w:t>
      </w:r>
    </w:p>
    <w:p>
      <w:r>
        <w:rPr>
          <w:b/>
        </w:rPr>
        <w:t>E. 4.6</w:t>
      </w:r>
    </w:p>
    <w:p>
      <w:r>
        <w:t>Offensichtliche Fehler, Lücken oder Widersprüche, welche das deutsche Rechtshilfeersuchen sofort entkräften würden, sind der vorstehend wieder- gegebenen Sachverhaltsdarstellung nicht zu entnehmen. Der geschilderte Sachverhaltsvorwurf erlaubt sodann ohne weiteres die Prüfung der doppel- ten Strafbarkeit als auch der Verhältnismässigkeit der beantragten Rechts- hilfemassnahme. So ist offensichtlich, dass sowohl eine Subsumtion prima facie unter dem Tatbestand der Vergewaltigung im Sinne von Art. 190 StGB als auch der sachliche Zusammenhang zwischen dem im Rechtshilfe-</w:t>
      </w:r>
    </w:p>
    <w:p>
      <w:r>
        <w:t>- 12 -</w:t>
      </w:r>
    </w:p>
    <w:p>
      <w:r>
        <w:t>ersuchen geschilderte Tatvorwurf und der Rechtshilfemassnahme zu beja- hen ist. Die deutschen Behörden schildern im Einzelnen unter Hinweis auf die Nachrichten von Interpol Bern (s. supra lit. B), weshalb der Verdacht auf den Beschwerdeführer gefallen und dessen Wangenschleimhautabstrich er- forderlich sei (s. supra E. 4.5). Von einer «fishing expedition» kann keine Rede sein. Soweit der Beschwerdeführer das Fehlen von Beweismitteln und Angaben dazu im Rechtshilfeersuchen rügt, verkennt er zum einen, dass in jedem Fall nicht verlangt werden kann, dass die ersuchende Behörde die Tatvorwürfe bereits abschliessend mit Beweisen belegt. Zum anderen über- sieht er, dass im Rechtshilfeverfahren weder Tat- noch Schuldfragen zu prü- fen und grundsätzlich auch keine Beweiswürdigung vorzunehmen ist (s. supra E. 4.4). Entsprechend geht auch die Rüge fehl, die Beschwerde- gegnerin habe ihre Begründungspflicht verletzt, indem sie sich nicht dazu geäussert habe, woraus sich der Tatverdacht ergebe. Die ausführende Be- hörde und das Rechtshilfegericht sind an die Sachdarstellung im Ersuchen gebunden, soweit diese nicht durch offensichtliche Mängel im Sinne der Rechtsprechung sofort entkräftet wird, welche der Beschwerdeführer mit sei- nen Einwendungen gerade nicht aufzuzeigen vermag. Die Schilderung des Tatvorwurfs im deutschen Rechtshilfeersuchen genügt nach dem Gesagten den Anforderungen an die Darstellung des Sachverhalts gemäss Art. 14 Ziff. 2 EUeR sowie Art. 28 Abs. 2 und 3 IRSG i.V.m. Art. 10 IRSV. Zusam- menfassend erweisen sich die vorstehenden Rügen als unbegründet.</w:t>
      </w:r>
    </w:p>
    <w:p>
      <w:r>
        <w:rPr>
          <w:b/>
        </w:rPr>
        <w:t>E. 5.1</w:t>
      </w:r>
    </w:p>
    <w:p>
      <w:r>
        <w:t>Der Beschwerdeführer rügt, im deutschen Strafverfahren sei ihm das recht- liche Gehör nicht gewährt worden. Er sei in jenem Verfahren nicht einbezo- gen worden, obwohl es sich um die Frage nach der Zulässigkeit einer Zwangsmassnahme und damit um einen schwerwiegenden Eingriff in die Persönlichkeitsrechte des Beschwerdeführers gehe. Der Beschluss sei ihm nicht einmal gültig zugestellt worden. Er habe keine Möglichkeit gehabt, ein Rechtsmittel dagegen zu ergreifen und/oder eine Verteidigung zu mandatie- ren. Die Rechtmässigkeit der ersuchten Zwangsmassnahme würde einen hinreichenden Tatverdacht voraussetzen, was nicht gegeben sei (act. 1 S. 9 f.).</w:t>
      </w:r>
    </w:p>
    <w:p>
      <w:r>
        <w:rPr>
          <w:b/>
        </w:rPr>
        <w:t>E. 5.2</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w:t>
      </w:r>
    </w:p>
    <w:p>
      <w:r>
        <w:t>- 13 -</w:t>
      </w:r>
    </w:p>
    <w:p>
      <w:r>
        <w:t>Art. 2 IRSG soll verhindern, dass die Schweiz die Durchführung von Straf- 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 Aus dieser Zielsetzung ergibt sich, dass einzelne Verfahrensverstösse im ausländischen Untersu- chungsverfahren für sich allein nicht genügen, um die Rechtshilfe auszu- schliessen; es ist in erster Linie Aufgabe der Rechtsmittelinstanzen des er- suchenden Staates, solche Verfahrensfehler zu korrigieren und sicherzustel- len, dass dem Beschuldigten trotzdem ein faires Strafverfahren garantiert wird. Der Ausschluss der Rechtshilfe rechtfertigt sich nur, wenn das auslän- dische Strafverfahren insgesamt die durch die EMRK und den UNO-Pakt II umschriebenen Minimalgarantien nicht erfüllt (Urteil des Bundesgerichts 1A.226/2000 vom 6. November 2000 E. 3b).</w:t>
      </w:r>
    </w:p>
    <w:p>
      <w:r>
        <w:rPr>
          <w:b/>
        </w:rPr>
        <w:t>E. 5.3</w:t>
      </w:r>
    </w:p>
    <w:p>
      <w:r>
        <w:t>Es ist nicht ersichtlich, dass die deutschen Behörden im vorliegenden Ver- fahren gegen elementare Verfahrensgrundsätze des internationalen Rechts oder des schweizerischen Ordre Public verstossen hätten. Festzuhalten bleibt, dass Deutschland sowohl Vertragsstaat der EMRK als auch des UNO- Pakts II ist. Bei einem Staat wie Deutschland wird die Beachtung der darin statuierten Garantien vermutet. Sollte es im Strafverfahren allenfalls zu einer Verletzung der Verteidigungsrechte des Beschwerdeführers gekommen sein oder kommen, kann der Beschwerdeführer dies in Deutschland vor den über- geordneten Instanzen rügen. Die Überwachung des Strafprozesses im ersu- chenden Staat ist Aufgabe der deutschen Justiz. Es bestehen keine Anhalts- punkte, dass insoweit kein wirksamer Rechtsschutz gegeben ist.</w:t>
      </w:r>
    </w:p>
    <w:p>
      <w:r>
        <w:rPr>
          <w:b/>
        </w:rPr>
        <w:t>E. 6.1</w:t>
      </w:r>
    </w:p>
    <w:p>
      <w:r>
        <w:t>Der Beschwerdeführer bringt im Eventualstandpunkt vor, im schweizeri- schen Strafverfahren seien die Voraussetzungen für den Wangenschleim- hautabstrich nicht gegeben gewesen. Die damalige Abnahme im Strafver- fahren wegen Betrugs etc. verletze in mehrfacher Hinsicht Bundesrecht. Ein rechtswidrig erlangter Beweis sei per se zu vernichten und könne folglich auch nicht Gegenstand eines Rechtshilfeverfahrens sein. Hinzu komme, dass der unzulässigerweise abgenommene Wangenschleimhautabstrich schon längstens hätte vernichtet werden müssen (act. 1 S. 11).</w:t>
      </w:r>
    </w:p>
    <w:p>
      <w:r>
        <w:rPr>
          <w:b/>
        </w:rPr>
        <w:t>E. 6.2</w:t>
      </w:r>
    </w:p>
    <w:p>
      <w:r>
        <w:t>Der im Strafverfahren bei der Staatsanwaltschaft Limmattal / Albis gestellte Antrag auf Vernichtung des Wangenschleimhautabstrichs wurde nach des- sen Beizug für das Rechtshilfeverfahren gestellt (s. supra lit. H). Vor Einlei- tung des Rechtshilfeverfahrens hat der Beschwerdeführer im Strafverfahren</w:t>
      </w:r>
    </w:p>
    <w:p>
      <w:r>
        <w:t>- 14 -</w:t>
      </w:r>
    </w:p>
    <w:p>
      <w:r>
        <w:t>der Staatsanwaltschaft Limmattal / Albis im Zusammenhang mit dem ihm abgenommenen Wangenschleimhautabstrich keine Rechtsmittel (so die strafrechtliche Beschwerde im Sinne von Art. 393 Abs. 1 lit. a StPO; für die kantonalzürcherische Praxis betreffend erkennungsdienstliche Erfassung und Abnahme eines Wangenschleimhautabstrichs mit Erstellen eines DNA- Profils s. an Stelle vieler Beschluss der III. Strafkammer des Obergerichts des Kantons Zürich UH210270 vom 29. Dezember 2021) erhoben und es liegen diesbezüglich auch keine Entscheide vor. Die vom Beschwerdeführer erhobenen Einwände sind nicht vom Rechtshilfegericht zu entscheiden. Viel- mehr sind sie gegebenenfalls im deutschen Strafverfahren vorzubringen. Die Rüge zielt nach dem Gesagten ins Leere.</w:t>
      </w:r>
    </w:p>
    <w:p>
      <w:r>
        <w:rPr>
          <w:b/>
        </w:rPr>
        <w:t>E. 7</w:t>
      </w:r>
    </w:p>
    <w:p>
      <w:r>
        <w:t>Nach dem Gesagten ist die Beschwerde vollumfänglich abzuweisen.</w:t>
      </w:r>
    </w:p>
    <w:p>
      <w:r>
        <w:rPr>
          <w:b/>
        </w:rPr>
        <w:t>E. 8</w:t>
      </w:r>
    </w:p>
    <w:p>
      <w:r>
        <w:t>Bei diesem Ausgang des Verfahrens sind die Gerichtskosten dem Be- schwerdeführer aufzuerlegen (Art. 63 Abs. 1 VwVG). Für die Berechnung der Gerichtsgebühren gelangt gemäss Art. 63 Abs. 5 VwVG das Reglement des Bundesstrafgerichts vom 31. August 2010 über die Kosten, Gebühren und Entschädigungen in Bundesstrafverfahren (BStKR; SR 173.713.162) zur Anwendung (Art. 53 Abs. 2 lit. a, Art. 73 StBOG i.V.m. Art. 63 Abs. 4bis lit. a und Abs. 5 VwVG sowie Art. 8 Abs. 3 lit. a BStKR). Unter allen relevanten Umständen ist die Gerichtsgebühr auf Fr. 5‘000.-- anzusetzen, unter Anrech- 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