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RR.2022.229 vom 12. April 2023</w:t>
      </w:r>
    </w:p>
    <w:p>
      <w:r>
        <w:t>Bundesstrafgericht, 2023-04-12, IT</w:t>
      </w:r>
    </w:p>
    <w:p>
      <w:r>
        <w:rPr>
          <w:b/>
        </w:rPr>
        <w:t xml:space="preserve">Quelle: </w:t>
      </w:r>
      <w:r>
        <w:t>https://mcp.opencaselaw.ch/entscheid/bstger_RR.2022.229</w:t>
      </w:r>
    </w:p>
    <w:p>
      <w:r>
        <w:t>FR: TPF RR.2022.229 du 12 avril 2023</w:t>
      </w:r>
    </w:p>
    <w:p>
      <w:r>
        <w:t>IT: TPF RR.2022.229 del 12 aprile 2023</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w:t>
      </w:r>
    </w:p>
    <w:p>
      <w:r>
        <w:t>- 4 -</w:t>
      </w:r>
    </w:p>
    <w:p>
      <w:r>
        <w:t>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consegna di valori patrimo- niali del 15 novembre 2022, il ricorso è ricevibile sotto il profilo degli art. 25 cpv. 1, 80e cpv. 1 e 80k AIMP. Titolare della omonima relazione n° 1, accesa presso la banca D. ed oggetto della decisione impugnata, la ricorrente è legittimata a ricorrere avverso la consegna dei rispettivi valori patrimoniali a scopo di confi- sca (v. art. 80h lett. b AIMP e art. 9a lett. a e b OAIMP nonché DTF 137 IV 134 consid. 5.2.1; 130 II 162 consid. 1.1; 128 II 211 consid. 2.3; TPF 2007 79 consid.</w:t>
      </w:r>
    </w:p>
    <w:p>
      <w:r>
        <w:rPr>
          <w:b/>
        </w:rPr>
        <w:t>E. 1.6</w:t>
      </w:r>
    </w:p>
    <w:p>
      <w:r>
        <w:t>pag. 82). La legittimazione non è invece data per le altre relazioni bancarie oggetto della decisione impugnata e delle quali A. ANSTALT non è titolare (v. sentenza del Tribunale penale federale RR.2021.105 del 24 agosto 2021 con- sid. 1.5.2-1.5.3).</w:t>
      </w:r>
    </w:p>
    <w:p>
      <w:r>
        <w:rPr>
          <w:b/>
        </w:rPr>
        <w:t>E. 2</w:t>
      </w:r>
    </w:p>
    <w:p>
      <w:r>
        <w:t>L’art. 74a cpv. 1 AIMP prevede che gli oggetti o i beni sequestrati a scopo con- servativo possono essere consegnati su richiesta all’autorità estera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w:t>
      </w:r>
    </w:p>
    <w:p>
      <w:r>
        <w:t>- 5 -</w:t>
      </w:r>
    </w:p>
    <w:p>
      <w:r>
        <w:t>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Nel caso specifico occorre integrare la normativa nazionale con l’art. VIII dell’Accordo italo-svizzero di analogo contenuto dell’art. 74a AIMP il quale riserva qualsiasi pretesa, che non sia stata soddisfatta o garantita, avan- zata sui beni richiesti da una persona estranea al reato (art. VIII n. 2 Accordo italo-svizzero).</w:t>
      </w:r>
    </w:p>
    <w:p>
      <w:r>
        <w:rPr>
          <w:b/>
        </w:rPr>
        <w:t>E. 3</w:t>
      </w:r>
    </w:p>
    <w:p>
      <w:r>
        <w:t>La ricorrente lamenta di non essere stata coinvolta nelle procedure di merito e di non aver “mai conosciuto gli estremi del procedimento penale” né visto “tran- sitare sui propri conti denaro che in qualche modo possa essere riconducibile ai fatti incriminati”, e ciò nonostante essa “fosse stata resa consapevole dell’or- dine di sequestro inizialmente emesso”. Su questi presupposti, “in conseguenza della violazione del proprio diritto di essere sentita, nel procedimento svoltosi al cospetto delle autorità estere, nessun coinvolgimento di A. ANSTALT sarebbe possibile”.</w:t>
      </w:r>
    </w:p>
    <w:p>
      <w:r>
        <w:rPr>
          <w:b/>
        </w:rPr>
        <w:t>E. 3.1</w:t>
      </w:r>
    </w:p>
    <w:p>
      <w:r>
        <w:t>La ricorrente censura in sostanza una violazione dell’art. 2 AIMP. Tale disposto ha quale scopo di evitare che la Svizzera presti assistenza a procedure che non garantirebbero alla persona perseguita uno standard di protezione minimo cor- rispondente a quello concesso dal diritto degli Stati democratici, definito in par- ticolare dalla CEDU e dal Patto ONU II, o che sarebbero in contrasto con norme</w:t>
      </w:r>
    </w:p>
    <w:p>
      <w:r>
        <w:t>- 6 -</w:t>
      </w:r>
    </w:p>
    <w:p>
      <w:r>
        <w:t>riconosciute come appartenenti all'ordine pubblico internazionale (DTF 123 II 161 consid. 6a; 122 II 140 consid. 5a).</w:t>
      </w:r>
    </w:p>
    <w:p>
      <w:r>
        <w:rPr>
          <w:b/>
        </w:rPr>
        <w:t>E. 3.2</w:t>
      </w:r>
    </w:p>
    <w:p>
      <w:r>
        <w:t>Giusta l'art. 2 lett. a AIMP la domanda di cooperazione in materia penale è irri- cevibile se vi è motivo di credere che il procedimento all'estero non corrisponda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giudice dell'as- sistenza deve dar prova a tal proposito di una prudenza particolare (DTF 130 II 217 consid. 8.1). Il rispetto delle garanzie procedurali vale per tutti gli aspetti legati ad un processo equo, segnatamente la parità delle armi, il diritto di essere sentito nonché la presunzione d'innocenza. Esse beneficiano non solo all’impu- tato, bensì a tutte le parti al procedimento penale nello Stato richiedente. Su tali punti, tuttavia, solo delle circostanze chiare e appurate costituiscono motivo di rifiuto della cooperazione (v. sentenza del Tribunale federale 1A.54/1994 del 27 aprile 1994 consid. 2a; ZIMMERMANN, La coopération judiciaire internationale en matière pénale, 5a ediz. 2019, pag. 748 n. 683 e rinvii).</w:t>
      </w:r>
    </w:p>
    <w:p>
      <w:r>
        <w:rPr>
          <w:b/>
        </w:rPr>
        <w:t>E. 3.3</w:t>
      </w:r>
    </w:p>
    <w:p>
      <w:r>
        <w:t>Secondo la giurisprudenza, l’art. 2 AIMP non può essere invocato da persone giuridiche che non sono oggetto della procedura estera (DTF 133 IV 40 consid. 7.2; 126 II 258 consid. 2d/aa; 115 Ib 68 consid. 6; sentenze del Tribunale fede- rale 1C_376/2016 del 5 ottobre 2016 consid. 2.2; 1C_79/2014 del 14 febbraio 2014 consid. 2.3; sentenze del Tribunale penale federale CR.2021.19 dell’8 no- vembre 2021 consid. 3.1; RR.2020.304 del 26 febbraio 2021 consid. 2.1). Le persone giuridiche possono invece di principio richiamarsi all'art. 2 lett. a AIMP se sono imputate nel procedimento nello stato rogante; in tale contesto può es- sere fatta valere solo una violazione delle norme sull'equo processo ex art. 6 CEDU (TPF 2016 138 consid. 4.2–4.3; sentenze del Tribunale penale federale RR.2022.7-11 dell’11 gennaio 2023 consid. 2.5.2; RR.2020.203 del 15 marzo 2021 consid. 9.2.2).</w:t>
      </w:r>
    </w:p>
    <w:p>
      <w:r>
        <w:t>In materia di consegna a scopo di confisca, il Tribunale federale ha precisato che se i beni vengono consegnati allo Stato rogante, quest'ultimo ne ottiene l'accesso diretto, motivo per il quale viene intaccata la garanzia costituzionale di proprietà (art. 26 cpv. 1 Cost.). Ne discende, in primo luogo, che alla persona interessata deve essere concesso il diritto di invocare l'art. 2 AIMP, anche se non si trova nello Stato richiedente, a patto che non abbia rinunciato ai rimedi legali con i quali avrebbe potuto lamentarsi delle carenze nel procedimento nello Stato richiedente (sentenza del Tribunale federale 1C_431/2008 del 22 gennaio 2009 consid. 4.3; 1A.53/2007 dell'11 febbraio 2008 consid. 4.3; sentenze del Tribunale penale federale RR.2018.348 e RR.2018.349, del 15 ottobre 2019</w:t>
      </w:r>
    </w:p>
    <w:p>
      <w:r>
        <w:t>- 7 -</w:t>
      </w:r>
    </w:p>
    <w:p>
      <w:r>
        <w:t>consid. 7.2; RR.2017.30 del 30 luglio 2017 consid. 5.2). Per quanto riguarda poi nello specifico le società non indagate, ma comunque oggetto di misure confi- scatorie nel procedimento estero, la giurisprudenza del Tribunale penale fede- rale, ammette di principio la possibilità che quest’ultime si richiamino all’art. 2 AIMP (sentenze del Tribunale penale federale RR.2021.202 del 4 aprile 2023 consid. 6.3; RR.2017.306 dell’8 marzo 2018 consid. 5.4; si vedano anche le sentenze 2020.276-283 del 14 dicembre 2020 consid. 2.2; RR.2016.105 del 30 novembre 2016 consid. 2.3 che lasciano aperta la questione). In concreto, non vi è motivo di scostarsi da questa prassi.</w:t>
      </w:r>
    </w:p>
    <w:p>
      <w:r>
        <w:rPr>
          <w:b/>
        </w:rPr>
        <w:t>E. 3.4</w:t>
      </w:r>
    </w:p>
    <w:p>
      <w:r>
        <w:t>Questa Corte ha già avuto modo di escludere che il mancato coinvolgimento nella procedura penale italiana di merito di terzi formalmente intestatari di beni per i quali era stata formulata richiesta di consegna a scopo di confisca fosse contraria ai principi procedurali della CEDU o del Patto ONU II. Dalla giurispru- denza italiana si inferisce infatti che il terzo estraneo al processo formalmente proprietario del bene già sotto sequestro, di cui sia stata disposta con sentenza la confisca, può innanzitutto chiedere al giudice della cognizione, prima che la pronuncia sia divenuta irrevocabile, la restituzione del bene e, in caso di di- niego, proporre appello dinanzi al tribunale del riesame. Una volta che la sen- tenza di merito che dispone la confisca di beni riconducibili all’imputato è dive- nuta irrevocabile, il terzo formale intestatario di quanto confiscato non perde le possibilità di trovare tutela per dimostrare che egli è anche l’effettivo proprieta- rio. Sebbene tale soggetto non possa impugnare la sentenza perché non è stato parte del processo, questi può infatti far capo all’istituto dell’incidente di esecu- zione al fine di far valere le proprie ragioni (v. sentenze del Tribunale penale federale RR.2022.195 del 22 marzo 2023 consid. 4.1.1 e segg.; RR.2022.196 del 22 marzo 2023 consid. 4.1.1 e segg.; RR.2022.195 del 22 marzo 2023 con- sid. 4.1.1 e segg.).</w:t>
      </w:r>
    </w:p>
    <w:p>
      <w:r>
        <w:rPr>
          <w:b/>
        </w:rPr>
        <w:t>E. 3.5</w:t>
      </w:r>
    </w:p>
    <w:p>
      <w:r>
        <w:t>Nel caso in esame, l’avente diritto economico della relazione bancaria oggetto della domanda di cooperazione internazionale risulta essere lo stesso C., già imputato nel procedimento italiano (v. act. 7.2). È per questo motivo che nel 2013 la procedura di assistenza giudiziaria conduceva al sequestro del conto intestato a A. ANSTALT (v. act. 12.3). Il 9 novembre 2017, il GIP di Arezzo, in esito a patteggiamento, ha applicato a C. la pena di anni due e EUR 4'000.– di multa e ha disposto nei suoi confronti la confisca dei beni in sua disponibilità a concorrenza dell’importo di EUR 198'924'000.–. Lo stesso GIP di Arezzo, inter- pellato dall’UDSC, ha precisato, in data 23 ottobre 2019, che dovevano ritenersi nella disponibilità dell’imputato, e con ciò da mantenere sotto sequestro, anche le somme depositate su conti intestati a soggetti terzi, ferma restando la possi- bilità, per i suoi patrocinatori, di formalizzare in Italia una procedura d’incidente di esecuzione. Come visto, con complemento rogatoriale del 28 ottobre 2019, l’autorità estera, ha poi chiesto la confisca di tali valori patrimoniali (v. act. 11.1).</w:t>
      </w:r>
    </w:p>
    <w:p>
      <w:r>
        <w:t>- 8 -</w:t>
      </w:r>
    </w:p>
    <w:p>
      <w:r>
        <w:t>Per stessa ammissione di A. ANSTALT, che in una precedente procedura di- nanzi a questa Corte era peraltro stata patrocinata dal medesimo rappresen- tante di C. (v. procedure RR.2014.196 e RR.2014.198), il sequestro del conto le era inizialmente noto. Ciò nonostante, non risulta che la ricorrente si sia atti- vata dinanzi alle autorità estere onde far valere i propri diritti prima che la sen- tenza del Tribunale di Arezzo del 9 novembre 2017 divenisse irrevocabile. Nem- meno in seguito, l’insorgente si è avvalsa dello strumento esecutivo residuale messo a sua disposizione dall’ordinamento giuridico italiano, che le avrebbe permesso di rivendicare l’effettiva titolarità degli averi patrimoniali in conto.</w:t>
      </w:r>
    </w:p>
    <w:p>
      <w:r>
        <w:rPr>
          <w:b/>
        </w:rPr>
        <w:t>E. 3.6</w:t>
      </w:r>
    </w:p>
    <w:p>
      <w:r>
        <w:t>Su questi presupposti, preso atto delle garanzie procedurali esistenti nel caso concreto a tutela dei diritti della ricorrente, segnatamente di fronte al giudice dell’esecuzione, non vi è motivo di ritenere che il procedimento estero non cor- risponda ai principi della CEDU e che quindi la domanda di cooperazione sia irricevibile ex art. 2 lett. a AIMP. Per il resto, non spetta al giudice dell’assistenza approfondire ulteriormente il diritto estero (v. sentenze del Tribunale penale fe- derale RR.2020.28 del 16 aprile 2020 consid. 3.2.4; RR.2019.296+329 del 13 febbraio 2020 consid. 10.2). Ulteriori ostacoli alla concessione dell’assi- stenza non sono ravvisabili, né vengono del resto fatti valere nel gravame. Tutti i requisiti sono dunque adempiuti, di modo che la consegna a scopo di confisca ex art. 74a cpv. 1-3 AIMP è stata correttamente ammessa dall’autorità prece- dente.</w:t>
      </w:r>
    </w:p>
    <w:p>
      <w:r>
        <w:rPr>
          <w:b/>
        </w:rPr>
        <w:t>E. 4</w:t>
      </w:r>
    </w:p>
    <w:p>
      <w:r>
        <w:t>Ne discende che il ricorso va respinto nella misura della sua ricevibilità.</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