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RR.2022.220 vom 27. Februar 2023</w:t>
      </w:r>
    </w:p>
    <w:p>
      <w:r>
        <w:t>Bundesstrafgericht, 2023-02-27, FR</w:t>
      </w:r>
    </w:p>
    <w:p>
      <w:r>
        <w:rPr>
          <w:b/>
        </w:rPr>
        <w:t xml:space="preserve">Quelle: </w:t>
      </w:r>
      <w:r>
        <w:t>https://mcp.opencaselaw.ch/entscheid/bstger_RR.2022.220</w:t>
      </w:r>
    </w:p>
    <w:p>
      <w:r>
        <w:t>FR: TPF RR.2022.220 du 27 février 2023</w:t>
      </w:r>
    </w:p>
    <w:p>
      <w:r>
        <w:t>IT: TPF RR.2022.220 del 27 febbraio 2023</w:t>
      </w:r>
    </w:p>
    <w:p>
      <w:pPr>
        <w:pStyle w:val="Heading2"/>
      </w:pPr>
      <w:r>
        <w:t>Regeste</w:t>
      </w:r>
    </w:p>
    <w:p>
      <w:r>
        <w:t>Entraide judiciaire internationale en matière pénale à la Pologne; remise de moyens de preuve (art. 74 EIMP)</w:t>
      </w:r>
    </w:p>
    <w:p>
      <w:pPr>
        <w:pStyle w:val="Heading2"/>
      </w:pPr>
      <w:r>
        <w:t>Erwägungen</w:t>
      </w:r>
    </w:p>
    <w:p>
      <w:r>
        <w:rPr>
          <w:b/>
        </w:rPr>
        <w:t>E. 1.1</w:t>
      </w:r>
    </w:p>
    <w:p>
      <w:r>
        <w:t>L'entraide judiciaire entre la Pologne et la Confédération suisse est prioritairement régie par la Convention européenne d'entraide judiciaire en matière pénale (CEEJ; RS 0.351.1), entrée en vigueur pour la Suisse le 20 mars 1967 et pour la Pologne le 17 juin 1996, ainsi que par le Deuxième protocole additionnel à ladite convention, entré en vigueur pour la Suisse le 1er février 2005 et pour l'Etat requérant le 1er février 2004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avril 2001 pour la Pologne. Les art. 43 ss de la Convention des Nations Unies contre la corruption (UNCAC; RS 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s'appliquent également à l'entraide pénale entre la Suisse et la Pologne.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30 jours à compter de la notification de la décision de clôture partielle, le recours a été déposé en temps utile (art. 80k EIMP).</w:t>
      </w:r>
    </w:p>
    <w:p>
      <w:r>
        <w:rPr>
          <w:b/>
        </w:rPr>
        <w:t>E. 1.4</w:t>
      </w:r>
    </w:p>
    <w:p>
      <w:r>
        <w:t>Selon l'art. 80h let. b EIMP, la qualité pour agir contre une mesure d'entraide</w:t>
      </w:r>
    </w:p>
    <w:p>
      <w:r>
        <w:t>- 4 -</w:t>
      </w:r>
    </w:p>
    <w:p>
      <w:r>
        <w:t>judiciaire est reconnue à celui qui est personnellement et directement touché par la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 En l'occurrence, la recourante est titulaire de la relation bancaire à propos de laquelle de la documentation doit être remise. Elle dispose par conséquent de la qualité pour recourir.</w:t>
      </w:r>
    </w:p>
    <w:p>
      <w:r>
        <w:rPr>
          <w:b/>
        </w:rPr>
        <w:t>E. 1.5</w:t>
      </w:r>
    </w:p>
    <w:p>
      <w:r>
        <w:t>Le recours est ainsi recevable et il y a lieu d’entrer en matière.</w:t>
      </w:r>
    </w:p>
    <w:p>
      <w:r>
        <w:rPr>
          <w:b/>
        </w:rPr>
        <w:t>E. 2.1</w:t>
      </w:r>
    </w:p>
    <w:p>
      <w:r>
        <w:t>Dans un grief qui doit, compte tenu de son caractère formel, être traité en premier lieu, la recourante fait valoir une violation de son droit d’être entendu sous la forme d’un défaut de motivation. Dans la décision de clôture partielle, le MP-GE aurait justifié son refus de procéder à un tri de la documentation bancaire à transmettre en se contentent d’indiquer qu’«un bref examen de la documentation bancaire saisie confirme que la relation visée est en rapport direct avec les infractions poursuivies par l’autorité requérante ainsi que la société visée par son enquête». Ce faisant, il n’aurait pas tenu compte des spécificités du cas d’espèce mais se serait borné à «émettre des considérations juridiques in abstracto», ce qui constituerait une violation du droit d’être entendu (act. 1, p. 13).</w:t>
      </w:r>
    </w:p>
    <w:p>
      <w:r>
        <w:rPr>
          <w:b/>
        </w:rPr>
        <w:t>E. 2.2</w:t>
      </w:r>
    </w:p>
    <w:p>
      <w:r>
        <w:t>La jurisprudence a tiré du droit d'être entendu consacré à l'art. 29 Cst.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141 V 557 consid. 3.2.1; 141 IV 249 consid. 1.3.1; 139 IV 179 consid. 2.2; 134 I 83 consid. 4.1;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w:t>
      </w:r>
    </w:p>
    <w:p>
      <w:r>
        <w:t>- 5 -</w:t>
      </w:r>
    </w:p>
    <w:p>
      <w:r>
        <w:rPr>
          <w:b/>
        </w:rPr>
        <w:t>E. 2.3</w:t>
      </w:r>
    </w:p>
    <w:p>
      <w:r>
        <w:t>En l’espèce, le MP-GE a refusé de procéder au tri de la documentation bancaire à transmettre sollicité par la recourante en exposant les motifs de ce refus dans sa décision de clôture partielle. Il a ainsi indiqué que l’autorité requérante pouvait avoir un intérêt à identifier ou à recouper d’autres sociétés dont l’existence pourrait être révélée au cours de l’enquête, que l’identité des ayants droit économiques pourrait s’avérer utile et qu’il n’appartenait ni au recourant, ni à lui-même, de se substituer à l’autorité requérante afin de déterminer ce qui est ou pourrait être pertinent pour son enquête (act. 1.1, p. 2). A la lecture du dossier du MP-GE, on constate que la recourante s’est contentée de requérir auprès de ce dernier un tri, sans en exposer toutefois les motifs, si ce n’est que le montant litigieux, qui serait insignifiant, ne justifierait pas la transmission de l’intégralité de la documentation bancaire (dossier MP-GE, pièce 8). Or, si elle comptait sur une prise de position plus détaillée du MP-GE, il lui appartenait, conformément à la jurisprudence constante (v. ATF 127 II 151 consid. 4c/aa; 126 II 258 consid. 9b/aa; arrêt du Tribunal fédéral 1A.216/2001 du 21 mars 2002 consid. 3.1 et 3.2; v. également arrêt du Tribunal pénal fédéral RR.2013.127 du 26 juin 2013 consid. 2.2.1), de lui adresser spontanément, de manière précise et détaillée, tous les arguments commandant, selon elle, de ne pas transmettre telle ou telle pièce. Faute pour la recourante d’avoir procédé de la sorte, la motivation du MP-GE dans la décision entreprise ne prête pas le flanc à la critique. Aussi, il convient de constater que la recourante a été en mesure d’attaquer efficacement la décision querellée, puisqu’elle a soulevé le grief de la violation du principe de proportionnalité (seul grief matériel invoqué) de manière précise et argumentée, lequel est traité dans le présent arrêt. Le grief de la violation du droit d’être entendu est donc rejeté.</w:t>
      </w:r>
    </w:p>
    <w:p>
      <w:r>
        <w:t>3.</w:t>
      </w:r>
    </w:p>
    <w:p>
      <w:r>
        <w:t>3.1 Dans un second moyen, la recourante reproche au MP-GE d’avoir violé le</w:t>
      </w:r>
    </w:p>
    <w:p>
      <w:r>
        <w:t>- 6 -</w:t>
      </w:r>
    </w:p>
    <w:p>
      <w:r>
        <w:t>principe de proportionnalité en ne procédant pas au tri de la documentation bancaire la concernant. A l’exception de deux transferts d’un montant total de EUR 3'500.--, les documents et informations bancaires à transmettre ne présenteraient aucun intérêt pour la procédure étrangère. La recourante indique ainsi ne pas comprendre, dans ces circonstances, la raison pour laquelle il se justifierait d’informer l’autorité requérante de toutes les transactions qui sont intervenues sur sa relation bancaire du 1er janvier 2020 au 25 novembre 2021. Elle souligne également que l’autorité requérante n’a pas sollicité ces pièces, mais s’est limitée à demander aux autorités suisses des informations s’agissant de ses relations avec B. Limited et de son activité ainsi que l’audition de son gérant (act. 1, p. 11).</w:t>
      </w:r>
    </w:p>
    <w:p>
      <w:r>
        <w:t>3.2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3.3 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w:t>
      </w:r>
    </w:p>
    <w:p>
      <w:r>
        <w:t>- 7 -</w:t>
      </w:r>
    </w:p>
    <w:p>
      <w:r>
        <w:t>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La coopération judiciaire internationale en matière pénale, 5e éd. 2019, n° 723, p. 798 ss).</w:t>
      </w:r>
    </w:p>
    <w:p>
      <w:r>
        <w:t>3.4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3.5 En l’occurrence, il ressort de la commission rogatoire que l’autorité requérante mène une enquête contre les sociétés B. Limited et C. Limited pour blanchiment d’argent. Dans ce contexte, un virement de EUR 3'200.- effectué par la recourante en faveur de B. Limited a été identifié. C’est en</w:t>
      </w:r>
    </w:p>
    <w:p>
      <w:r>
        <w:t>- 8 -</w:t>
      </w:r>
    </w:p>
    <w:p>
      <w:r>
        <w:t>raison de ce transfert que la commission rogatoire a été formulée. La documentation bancaire concernée par l’ordonnance de clôture entreprise est constituée des documents d’ouverture, des relevés de compte du 1er janvier 2020 au jour de la saisie, de l’estimation des avoirs du 1er janvier 2020 au jour de la saisie et de l’estimation des avoirs au jour de la saisie. Dans sa demande d’entraide, l’autorité requérante sollicite plusieurs informations en lien avec la recourante, notamment: ses coordonnées et le nom de ses gérants et de ses représentants, des indications concernant son activité économique et la réalité de celle-ci, ses liens avec les deux sociétés visées par l’enquête ainsi que la confirmation que la recourante est titulaire du compte bancaire frappé par la mesure ordonnée par le MP-GE et les raisons pour lesquelles elle dispose d’un compte en Suisse alors qu’elle a son siège aux Iles Vierges britanniques. En l’occurrence, la documentation bancaire à transmettre à l’autorité requérante permettra de la renseigner sur les interrogations susmentionnées. Cela lui permettra en particulier de vérifier si le virement bancaire qu’elle a identifié est isolé ou s’il y en a eu d’autres. La documentation sera également propre, sous l’angle de l’utilité potentielle, à l’aider dans son enquête. En effet, lorsque la demande vise à éclaircir le cheminement de fonds d’origine délictueuse – comme c’est le cas en l’espèce – il se justifie en principe d’informer l’Etat requérant de toutes les transactions opérées au nom des personnes ou entités concernées (v. arrêt du Tribunal pénal fédéral RR.2022.61 du 19 décembre 2022 consid. 6.4). La décision du MP-GE de ne pas procéder à un tri mais de transmettre l’intégralité des pièces bancaires concernant la recourante ne viole ainsi nullement le principe de proportionnalité. Le grief doit donc être rejeté.</w:t>
      </w:r>
    </w:p>
    <w:p>
      <w:r>
        <w:rPr>
          <w:b/>
        </w:rPr>
        <w:t>E. 4</w:t>
      </w:r>
    </w:p>
    <w:p>
      <w:r>
        <w:t>Les considérants qui précèdent conduisent au rejet du recours.</w:t>
      </w:r>
    </w:p>
    <w:p>
      <w:r>
        <w:rPr>
          <w:b/>
        </w:rPr>
        <w:t>E. 5</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La recourante supportera ainsi les frais du présent arrêt, qui sont fixés à CHF 5'000.-- (v. art. 8 al. 3 du règlement du Tribunal pénal fédéral sur les frais, émoluments, dépens et indemnités de la procédure pénale fédérale [RFPPF; RS 173.713.162] et art. 63 al. 5 PA), lesquels sont entièrement couverts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