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RR.2022.215 vom 22. Juni 2023</w:t>
      </w:r>
    </w:p>
    <w:p>
      <w:r>
        <w:t>Bundesstrafgericht, 2023-06-22, DE</w:t>
      </w:r>
    </w:p>
    <w:p>
      <w:r>
        <w:rPr>
          <w:b/>
        </w:rPr>
        <w:t xml:space="preserve">Quelle: </w:t>
      </w:r>
      <w:r>
        <w:t>https://mcp.opencaselaw.ch/entscheid/bstger_RR.2022.215</w:t>
      </w:r>
    </w:p>
    <w:p>
      <w:r>
        <w:t>FR: TPF RR.2022.215 du 22 juin 2023</w:t>
      </w:r>
    </w:p>
    <w:p>
      <w:r>
        <w:t>IT: TPF RR.2022.215 del 22 giugno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dieses geringere Anforde-</w:t>
      </w:r>
    </w:p>
    <w:p>
      <w:r>
        <w:t>- 5 -</w:t>
      </w:r>
    </w:p>
    <w:p>
      <w:r>
        <w:t>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(Art. 9a lit. a IRSV).</w:t>
      </w:r>
    </w:p>
    <w:p>
      <w:r>
        <w:rPr>
          <w:b/>
        </w:rPr>
        <w:t>E. 1.4</w:t>
      </w:r>
    </w:p>
    <w:p>
      <w:r>
        <w:t>Die Beschwerdeführer sind Inhaber der von der Schlussverfügung betroffe- nen Geschäftsbeziehungen und damit beschwerdebefugt. Auf die form- und fristgerecht erhobene Beschwerde ist einzutreten.</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Zunächst ist auf die Rüge einzugehen, wonach der Beschwerdegegner durch die Verweigerung der Einsicht in das Ersuchen vom 14. August 2020 den Anspruch der Beschwerdeführer auf rechtliches Gehör verletzt habe (act. 1, S. 5 ff.; act. 10, S. 5 ff.).</w:t>
      </w:r>
    </w:p>
    <w:p>
      <w:r>
        <w:t>- 6 -</w:t>
      </w:r>
    </w:p>
    <w:p>
      <w:r>
        <w:rPr>
          <w:b/>
        </w:rPr>
        <w:t>E. 3.2.1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3.2.2</w:t>
      </w:r>
    </w:p>
    <w:p>
      <w:r>
        <w:t>Der Anspruch auf rechtliches Gehör ist formeller Natur. Eine Verletzung die- ses Grundrechts durch die ausführende Behörde führt jedoch nicht automa- tisch zur Gutheissung der Beschwerde und zur Aufhebung der angefochte- nen Verfügung. Nach der Rechtsprechung kann eine Verletzung des rechtli- chen Gehörs geheilt werden, wenn die betroffene Person die Möglichkeit er- hält, sich vor einer Beschwerdeinstanz zu äussern, die über die gleiche Über- prüfungsbefugnis wie die ausführende Behörde verfügt (vgl. BGE 135 I 279 E. 2.6.1; 133 I 201 E. 2.2; 124 II 132 E. 2d m.w.H.; Entscheid des Bun- desstrafgerichts RR.2016.62 vom 9. Juni 2016 E. 6.2; ZIMMERMANN, La coo- pération judiciaire internationale en matière pénale, 5. Aufl. 2019, N. 472; POPP, Grundzüge der internationalen Rechtshilfe in Strafsachen, 2001, N. 460 m.w.H.). Die Beschwerdekammer des Bundesstrafgerichts entschei- det bei Beschwerden in Rechtshilfeangelegenheiten mit umfassender Kog- nition (TPF 2007 57 E. 3.2; Entscheide des Bundesstrafgerichts RR.2015.273 vom 24. März 2016 E. 10.4.2; RR.2007.165 vom 14. Februar 2008 E. 4.2; RR.2007.143 vom 3. Dezember 2007 E. 2.1). Das Verfahren vor der Beschwerdekammer erlaubt demnach grundsätzlich die Heilung von Verletzungen des rechtlichen Gehörs, welche durch die ausführenden Be- hörden begangen wurden. Eine Heilung kommt grundsätzlich nur für eine nicht besonders schwerwiegende Verletzung der Parteirechte in Frage (BGE 127 V 431 E. 3d/aa; 126 V 130 E. 2b).</w:t>
      </w:r>
    </w:p>
    <w:p>
      <w:r>
        <w:t>- 7 -</w:t>
      </w:r>
    </w:p>
    <w:p>
      <w:r>
        <w:rPr>
          <w:b/>
        </w:rPr>
        <w:t>E. 3.3.1</w:t>
      </w:r>
    </w:p>
    <w:p>
      <w:r>
        <w:t>Die Beschwerdeführer haben in das Ersuchen vom 9. Dezember 2020 sowie in die beiden Eintretensverfügungen vom 10. und 19. März 2021 Einsicht erhalten. Ebenso wurde ihnen das Ersuchen vom 7. Dezember 2021 zuge- stellt (Verfahrensakten, act. 3.1, Schreiben BJ an Rechtsanwalt Andrea Taormina vom 7. Dezember 14. Juli 2022), welches jedoch nicht Gegenstand der hier angefochtenen Schlussverfügung bildet. Den von den Beschwerde- führern gestellten Antrag um Einsicht in das Ersuchen vom 14. August 2020 wies der Beschwerdegegner in der Schlussverfügung unter Verweis auf seine Schreiben vom 11. und 22. März 2022 ab und sah keinen Grund, auf die darin gemachten Ausführungen zurückzukommen (act. 1.1, S. 7). In die- sen Schreiben führte der Beschwerdegegner aus, dass sich das im Rechts- hilfeersuchen vom 9. Dezember 2020 erwähnte ursprüngliche Ersuchen vom 14. August 2020 auf die beantragte Rückführung von deliktischen Vermö- genswerten einer Drittgesellschaft bei der Bank K. bezogen habe. Das Ersu- chen vom 14. August 2020 habe sich weder auf die Beschwerdeführer be- zogen noch seien sie von in jenem Verfahren angeordneten Zwangsmass- nahmen betroffen gewesen. Der Sachverhalt, für welchen im Fall der Be- schwerdeführer Rechtshilfe geleistet werden soll, könne dem Ersuchen vom 9. Dezember 2020 in uneingeschränktem Umfang entnommen werden (act. 1.2).</w:t>
      </w:r>
    </w:p>
    <w:p>
      <w:r>
        <w:rPr>
          <w:b/>
        </w:rPr>
        <w:t>E. 3.3.2</w:t>
      </w:r>
    </w:p>
    <w:p>
      <w:r>
        <w:t>Die Weigerung des Beschwerdegegners, den Beschwerdeführern das Ersu- chen vom 14. August 2020 offenzulegen, ist nicht zu beanstanden. Auch wenn der Beschwerdegegner das Ersuchen vom 9. Dezember 2020 in der hier angefochtenen Schlussverfügung als «ergänzendes Rechtshilfeersu- chen» bezeichnete, handelt es sich um ein eigenständiges Ersuchen, das sich unabhängig vom Ersuchen vom 14. August 2020 beurteilen lässt. Das hier gegenständliche Ersuchen vom 9. Dezember 2020 hat das L. CA- M. Ltd. Betrugsschema und die Übermittlung der diesbezüglichen Bankun- terlagen zum Gegenstand (Nähere dazu vgl. E. 4.3 hiernach). Gemäss den Angaben des Beschwerdegegners betraf das Ersuchen vom 14. August 2020 die Rückführung von deliktischen Vermögenswerten einer Drittgesell- schaft, ohne dass die Beschwerdeführer von den in jenem Verfahren ange- ordneten Zwangsmassnahmen betroffen gewesen wären (act. 1.2). Damit wies jenes Ersuchen einen anderen Sachverhalt auf und war auf eine andere Rechtshilfemassnahme gerichtet. Ausserdem wird im Ersuchen vom 9. De- zember 2020 lediglich eingangs auf das Ersuchen vom 14. August 2020 ver- wiesen, ohne im anschliessend dargelegten Sachverhalt darauf Bezug zu nehmen. Dass es sich beim Ersuchen vom 9. Dezember 2020 um ein eigen- ständiges Ersuchen handelt bzw. eines, das unabhängig vom Ersuchen vom 14. August 2020 zu beurteilen ist, deutet ferner auch der Umstand hin, dass</w:t>
      </w:r>
    </w:p>
    <w:p>
      <w:r>
        <w:t>- 8 -</w:t>
      </w:r>
    </w:p>
    <w:p>
      <w:r>
        <w:t>der Beschwerdegegner nach Eingang des Ersuchens am 10. und 19. März 2021 zwei Eintretensverfügungen i.S.v. Art. 80a IRSG erliess.</w:t>
      </w:r>
    </w:p>
    <w:p>
      <w:r>
        <w:rPr>
          <w:b/>
        </w:rPr>
        <w:t>E. 3.3.3</w:t>
      </w:r>
    </w:p>
    <w:p>
      <w:r>
        <w:t>Es sei indes angemerkt, dass die hier angefochtene Schlussverfügung Sach- verhaltselemente enthält, die der Beschwerdegegner seinen Angaben zu- folge aus anderen Rechtshilfebegehren betreffend die C. SA zusammenfas- send dargestellt habe, mit welchen die amerikanischen Behörden an die Schweiz gelangt seien. Ob es sich dabei um Angaben aus dem Ersuchen vom 14. August 2020 oder aus anderen Ersuchen handelt, ist dem Gericht nicht bekannt. Da die hier angefochtene Schlussverfügung nur das Ersuchen vom 9. Dezember 2020 zum Gegenstand hat, kann lediglich die dort enthal- tene Sachverhaltsdarstellung massgebend sein. Dementsprechend stützt sich die Beschwerdekammer in den nachfolgenden Erwägungen aus- schliesslich auf die im Ersuchen vom 9. Dezember 2020 dargelegten Sach- verhalt, der im Übrigen auch in der Schlussverfügung vom 22. September 2022 wiedergegeben wurde (act. 1.3, S. 3). Diese im Ersuchen vom 9. De- zember 2020 gemachten Ausführungen reichten dem Gericht (wie auch dem Beschwerdegegner) zur Prüfung der gesetzlichen und staatsvertraglichen Anforderungen an das Ersuchen aus (E. 4 hiernach). Das Gericht sah daher keinen Anlass, beim Beschwerdegegner weitere Verfahrensakten aus ande- ren (hängigen oder abgeschlossenen) Rechtshilfeverfahren beizuziehen. Dies gilt insbesondere in Bezug auf das Ersuchen vom 14. August 2020. Bei diesem Ergebnis kann an dieser Stelle auch dahingestellt bleiben, ob der Beschwerdegegner auf die im Ersuchen vom 9. Dezember 2020 nicht ent- haltenen Sachverhaltselemente in der Schlussverfügung hätte verzichten sollen resp. den Beschwerdeführern Einsicht in die entsprechenden Unterla- gen hätte gewähren müssen.</w:t>
      </w:r>
    </w:p>
    <w:p>
      <w:r>
        <w:rPr>
          <w:b/>
        </w:rPr>
        <w:t>E. 4.1</w:t>
      </w:r>
    </w:p>
    <w:p>
      <w:r>
        <w:t>In materieller Hinsicht erachten die Beschwerdeführer die Sachverhaltsdar- stellung im Ersuchen vom 9. Dezember 2020 als ungenügend. Insbesondere werde darin kein Anfangsverdacht dargetan, der die Rechtshilfe begründen würde. Des Weiteren bestreiten die Beschwerdeführer das Vorliegen beid- seitiger Strafbarkeit (act. 1, S. 10 ff. und 17 ff.; act. 10, S. 7 ff.).</w:t>
      </w:r>
    </w:p>
    <w:p>
      <w:r>
        <w:rPr>
          <w:b/>
        </w:rPr>
        <w:t>E. 4.2.1</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w:t>
      </w:r>
    </w:p>
    <w:p>
      <w:r>
        <w:t>- 9 -</w:t>
      </w:r>
    </w:p>
    <w:p>
      <w:r>
        <w:t>ausreichen, um den schweizerischen Behörden ein Urteil darüber zu erlau- ben, ob die den Betroffenen vorgeworfenen Handlungen nach den Rechten beider Staaten strafbar sind, ob die fraglichen Handlungen nicht zu denjeni- gen gehören, für die Rechtshilfe nicht gewährt wird (politische oder fiskali- sche Delikte) und ob, insbesondere bei Eingriffen in die Rechte Dritter, der Grundsatz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Beweisausforschung aufs Geratewohl hin abzugrenzen; dagegen werden keine Beweise verlangt. Tat- und Schuldfragen sind nicht vom Rechtshilfe- richter, sondern durch den ausländischen Sachrichter zu beurteilen. Die schweizerischen Rechtshilfebehörden sind an die Sachdarstellung des Er- suchens gebunden, soweit diese nicht offensichtliche Fehler, Lücken oder Widersprüche enthält (BGE 142 IV 250 E. 6.3; 136 IV 4 E. 4.1; 133 IV 76 E. 2.2; TPF 2011 194 E. 2.1; s. zum Ganzen auch Urteil des Bundesgerichts 1A.9/2006 vom 24. Februar 2006 E. 3.1; Entscheid des Bundesstrafgerichts RR.2016.74 vom 16. Februar 2017 E. 5.2 und E. 5.3; je m.w.H.).</w:t>
      </w:r>
    </w:p>
    <w:p>
      <w:r>
        <w:rPr>
          <w:b/>
        </w:rPr>
        <w:t>E. 4.2.2</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geldwäschereiver- dächtige Finanztransaktionen dargelegt werden. Insbesondere brauchen Ort, Zeitpunkt und Umstände der verbrecherischen Vortat noch nicht bekannt zu sein (BGE 129 II 97 E. 3.2). Als geldwäschereiverdächtig können nament- lich Finanzoperationen angesehen werden, bei denen hohe Beträge ohne erkennbaren wirtschaftlichen Grund und über Konten zahlreicher Gesell- schaften in verschiedenen Staaten transferiert werden (BGE 129 II 97 E. 3.3). Auch unerklärliche bzw. ungewöhnliche Transaktionen mit hohen Bargeldbeträgen (FORSTER, Internationale Rechtshilfe bei Geldwäscherei- 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 bei um ein Verbrechen handelt. Dabei ist auch der Dimension der fraglichen</w:t>
      </w:r>
    </w:p>
    <w:p>
      <w:r>
        <w:t>- 10 -</w:t>
      </w:r>
    </w:p>
    <w:p>
      <w:r>
        <w:t>Finanztransaktionen Rechnung zu tragen (Urteil des Bundesgerichts 1A.188/2005 vom 24. Oktober 2005 E. 2.4; Entscheid des Bundesstrafge- richts RR.2008.11 vom 3. Juli 2008 E. 4.5 und 4.6; vgl. ferner Entscheid des Bundesstrafgerichts RR.2015.9 vom 21. Mai 2015 E. 3.3 sowie Nichteintre- tensentscheid des Bundesgerichts 1C_308/2015 vom 22. Juni 2015 E. 2.1).</w:t>
      </w:r>
    </w:p>
    <w:p>
      <w:r>
        <w:rPr>
          <w:b/>
        </w:rPr>
        <w:t>E. 4.3</w:t>
      </w:r>
    </w:p>
    <w:p>
      <w:r>
        <w:t>Gemäss Rechtshilfeersuchen vom 9. Dezember 2020 (act. 1.4) besteht der Verdacht, dass mehrere Beschuldigte zusammen mit weiteren Komplizen Erlöse aus illegalen Devisenhandlungen und unter Beteiligung der C. SA ge- waschen hätten, wobei die Handlungen bereits 2013 begonnen hätten und bis heute andauern würden. Eines der Systeme sei das sog. L. CA-M. Ltd. Darlehensschema, welches den Beschuldigten ermöglicht habe, sich Zu- gang zum festen Wechselkurs Venezuelas zu verschaffen, der im Vergleich zum offenen Devisenmarkt deutlich höher sei. Die Differenz zwischen den beiden Wechselkursen habe zu Erlösen in Höhe von Hunderten von Millio- nen US-Dollar oder Euro geführt. Ein beträchtlicher Teil dieser Gewinne sei als Bestechungsgeld an die am Genehmigungsverfahren für den Darlehens- vertrag beteiligten Personen, darunter an die Beschuldigten und an einen venezolanischen Beamten, zurückbezahlt worden. Die Bestechung eines ve- nezolanischen Beamten verstosse nicht nur gegen das venezolanische Recht, sondern auch gegen den FCPA, da mindestens ein Mitglied der Tä- tergruppierung auf dem Hoheitsgebiet der Vereinigten Staaten Korruptions- handlungen vorgenommen habe, darunter Teilnahme an Treffen sowie Geld- überweisungen auf Konten des südlichen Bezirks von Florida. Beispiels- weise habe der Beschwerdeführer, der normalerweise in Venezuela wohn- haft sei, Zahlungen zur Unterstützung der kriminellen Tätergruppierung von den Vereinigten Staaten aus getätigt. Die Ermittlungen hätten ergeben, dass der Beschwerdeführer sich zwischen Dezember 2014 und Januar 2015 in Florida aufgehalten und in dieser Zeit mit dem Beschuldigten F. und einer vertraulichen Quelle im Blackberry Messenger über das L. CA-M. Ltd. Dar- lehensschema unterhalten habe.</w:t>
      </w:r>
    </w:p>
    <w:p>
      <w:r>
        <w:t>Am oder um den 17. Dezember 2014 habe die L. CA, eine venezolanische Briefkastenfirma, einen Vertrag mit der C. SA geschlossen und sich darin verpflichtet, der C. SA 7,2 Mia. venezolanische Bolivar zu leihen. Am oder um den 23. Dezember 2014 habe die L. CA mit der M. Ltd., welche in Hong Kong ihren Sitz habe und wirtschaftlich N. gehöre, eine Zession vereinbart. Darin habe die L. CA ihre Gläubigerrechte gegenüber der C. SA an die M. Ltd. abgetreten. Ein venezolanischer Beamter, der Vizepräsident der C. SA, habe den Vertrag unterzeichnet. Am oder um den 23. Dezember 2014 habe die M. Ltd. die C. SA mit einem Schreiben über die Abtretung seitens L. CA benachrichtigt und ihr vorgeschlagen, das Darlehen in Höhe von</w:t>
      </w:r>
    </w:p>
    <w:p>
      <w:r>
        <w:t>- 11 -</w:t>
      </w:r>
    </w:p>
    <w:p>
      <w:r>
        <w:t>7,2 Mia. venezolanische Bolivar (entsprechend USD 600 Mio.) in Euro zu- rückzubezahlen. Die Ermittlungen hätten ergeben, dass die Beschuldigten eine hälftige Teilung des Nettoerlöses aus dem L. CA-M. Ltd. Darlehensge- schäft zwischen den «Bolichicos» (welchen u.a. der Beschwerdeführer und E. angehörten) einerseits und N. andererseits vereinbart hätten. Anschlies- send sollen sie diese Gelder an andere Beschuldigte und Komplizen weiter- verteilt oder die Gelder zu ihrem eigenen Vorteil verwendet haben. Das Schreiben vom 23. Dezember 2014 habe zudem eine Anweisung an die C. SA enthalten, die der M. Ltd. zustehenden Gelder an die O. Ltd. zu über- weisen. O. Ltd. sei eine maltesische Finanzgesellschaft, die u.a. die Konten der M. Ltd. führe. Dabei habe die O. Ltd. mindestens drei auf sie lautende Bankkonten in der Schweiz genutzt, um Überweisungen für und zwischen ihren Kunden zu tätigen. Die M. Ltd. sei der O. Ltd. von der P. Ltd. vorgestellt worden. Die Vertreter der P. Ltd. hätten die O. Ltd. gebeten, im Namen der M. Ltd. diverse Titel und Obligationen zu kaufen und verkaufen. Die C. SA habe aus dem L. CA-M. Ltd. Darlehen zwischen dem 29. Dezember 2014 und 2. Februar 2015 an die O. Ltd. mindestens EUR 385'216'708.87 über- wiesen, die der M. Ltd. intern gutgeschrieben worden seien. Daraufhin habe die O. Ltd. diese Gelder im Namen der M. Ltd. auf diverse Schweizer Bank- konten, lautend auf zahlreiche Gesellschaften, weitertransferiert. Im Rahmen der Ermittlungen sei eine E-Mail vom September 2015 sichergestellt worden, in welcher eine Kalkulationstabelle mit Verteilung der Erlöse aus dem L. CA- M. Ltd. Darlehensschema zwischen den Komplizen enthalten gewesen sei. Die Kalkulationstabelle habe mehrere Arbeitsblätter enthalten, darunter ei- nes mit dem Titel «DD.». Aus diesem Arbeitsblatt gehe hervor, dass ca. EUR 227'265'537.52 aus dem L. CA-M. Ltd. Darlehensschema an den Be- schwerdeführer und E. mittels Überweisungen an die «Unternehmung Q.» und «B. Inc.» verteilt worden seien. Auf das Konto der Beschwerdeführerin bei der Bank I. bzw. Bank J.mit der IBAN 3 und/oder 4, die im Zusammen- hang zum Konto IBAN 5 stünden, seien von der O. Ltd. am 4. und 9. März 2015 insgesamt rund USD 18,5 Mio. eingegangen. Aufgrund der bisherigen Ermittlungsergebnisse geht die ersuchende Behörde ferner davon aus, dass die auf den Beschwerdeführer lautenden Konten Nr. 2 bei der Bank G. und Nr. 1 bei der Bank H. für die Wäsche der an die Beschuldigten und ihre Fa- milien oder/und ihnen zurechenbaren Gesellschaften überwiesenen Gelder verwendet worden seien.</w:t>
      </w:r>
    </w:p>
    <w:p>
      <w:r>
        <w:rPr>
          <w:b/>
        </w:rPr>
        <w:t>E. 4.4.1</w:t>
      </w:r>
    </w:p>
    <w:p>
      <w:r>
        <w:t>Der im Ersuchen vom 9. Dezember 2020 dargestellte Sachverhalt legt im erforderlichen Umfang den Gegenstand, die Art der Untersuchung sowie ins- besondere den Verdacht der Geldwäschereihandlungen in ausreichender Form dar. Die Sachverhaltsdarstellung enthält weder offensichtliche Fehler,</w:t>
      </w:r>
    </w:p>
    <w:p>
      <w:r>
        <w:t>- 12 -</w:t>
      </w:r>
    </w:p>
    <w:p>
      <w:r>
        <w:t>Lücken noch Widersprüche, weshalb der im Ersuchen dargestellte Sachver- halt für den Rechtshilferichter bindend und den nachfolgenden Erwägungen zugrunde zu legen ist. Daran vermag der Umstand nichts zu ändern, dass die Bestechungshandlung als Vortat der Geldwäscherei im Ersuchen nicht im Detail dargelegt wurde. Wie oben ausgeführt, brauchen Ort, Zeitpunkt und Umstände der verbrecherischen Vortat nicht zwingend bekannt zu sein (supra E. 4.2.2). Dies gilt nicht nur im Geltungsbereich des GwUe, sondern auch in den staatsvertraglich geregelten (vgl. oben E. 1.1) Rechtshilfebezie- hungen mit den USA. Entgegen der Ansicht der Beschwerdeführer wurden die geldwäschereiverdächtigen Finanztransaktionen im Ersuchen ausrei- chend dargelegt. Namentlich soll am 17. Dezember 2014 ein Darlehensver- trag zwischen der C. SA und L. CA über die Gewährung eines Darlehens von 7,2 Mia. venezolanische Bolivar (entsprechend etwa USD 600 Mio.) ver- einbart worden sein. Nur sechs Tage später soll die L. CA die ihr zustehende Forderung an die M. Ltd. abgetreten haben und bereits ab dem 29. Dezem- ber 2014 (bis zum 2. Februar 2015) soll die C. SA mehr als EUR 385 Mio. an die O. Ltd. zurückbezahlt haben, die anschliessend der M. Ltd. gutge- schrieben worden seien. Von dort aus sollen diese mutmasslich illegalen Gelder laut Ersuchen transnational auf weitere Konten, lautend auf zahlrei- che (Offshore-) Gesellschaften verschoben worden sein. Die Angaben im ergänzenden Ersuchen reichen zur Beurteilung, ob eine rechtshilfefähige Straftat i.S.v. Art. 4 Ziff. 2 RVUS vorliegt, aus. Damit genügt das Ersuchen den formellen Anforderungen.</w:t>
      </w:r>
    </w:p>
    <w:p>
      <w:r>
        <w:rPr>
          <w:b/>
        </w:rPr>
        <w:t>E. 4.4.2</w:t>
      </w:r>
    </w:p>
    <w:p>
      <w:r>
        <w:t>Ebenso lässt sich gestützt auf die Angaben im Ersuchen vom 9. Dezember 2020 das Rechtshilfeerfordernis der beidseitigen Strafbarkeit beurteilen, wel- che vorliegend zu bejahen ist. Laut Ersuchen sollen mutmasslich illegale Gelder mehrfach transnational auf diverse Konten, lautend auf zahlreiche (Offshore-)Gesellschaften verschoben worden sein. Damit sind zur Papier- spur-Verlängerung weitere Verschleierungsmerkmale hinzugetreten, mithin liegen prima facie geldwäschereitypische Handlungen vor. Was die Be- schwerdeführer in diesem Zusammenhang einwenden, greift nicht. Dass Be- stechungshandlungen geeignete Vortaten von Geldwäsche sind, wird von den Beschwerdeführern zu Recht nicht in Abrede gestellt. Vielmehr bringen sie vor, dass der gemäss Ersuchen vorgenommene Währungswechsel nach venezolanischen Recht vom 16. September 2020 legal und die aus den in- kriminierten Geschäften stammenden Vermögenswerte nicht deliktischen Ursprungs seien. Damit verkennen sie, dass diese Einwände die Sachver- haltsermittlung betreffen. Dies hat jedoch nicht der Schweizer Rechtshilfe- richter zu beurteilen (supra E. 4.2.1). Dasselbe gilt in Bezug auf die Frage, ob die auf Konten der Beschwerdeführer vorgenommenen Transaktionen le- galen Hintergrund haben. Die entsprechenden Einwände sind im von der er- suchenden Behörde geführten Strafverfahren vorzubringen. Aus diesem</w:t>
      </w:r>
    </w:p>
    <w:p>
      <w:r>
        <w:t>- 13 -</w:t>
      </w:r>
    </w:p>
    <w:p>
      <w:r>
        <w:t>Grund kann auf eine nähere Prüfung des ins Recht gelegten venezolani- schen Urteils vom 16. September 2020 verzichtet werden.</w:t>
      </w:r>
    </w:p>
    <w:p>
      <w:r>
        <w:rPr>
          <w:b/>
        </w:rPr>
        <w:t>E. 4.4.3</w:t>
      </w:r>
    </w:p>
    <w:p>
      <w:r>
        <w:t>Der Beschwerdegegner setzte sich in der Schlussverfügung mit den von den Beschwerdeführern ins Recht gelegten Unterlagen, darunter auch mit dem Beschluss des Obergerichts des Kantons Zürich vom 29. Juni 2021 ausei- nander und führte unter Verweis auf die einschlägige Rechtsprechung aus, dass im Rechtshilfeverfahren an Verdacht und Beweislage nicht die Anfor- derungen wie im nationalen Strafverfahren gelten (act. 1.1, S. 8 ff.). Auf diese zutreffenden Ausführungen kann verwiesen werden. Überdies legte der Be- schwerdegegner im angefochtenen Entscheid dar, weshalb er die doppelte Strafbarkeit als gegeben erachtet und gab insbesondere die im Ersuchen vom 9. Dezember 2020 dargelegten Sachverhaltselemente wieder. Eine un- genügende Begründung der angefochtenen Verfügung ist entgegen der An- sicht der Beschwerdeführer nicht zu erkennen.</w:t>
      </w:r>
    </w:p>
    <w:p>
      <w:r>
        <w:rPr>
          <w:b/>
        </w:rPr>
        <w:t>E. 4.5</w:t>
      </w:r>
    </w:p>
    <w:p>
      <w:r>
        <w:t>Nach dem Gesagten erweist sich in die Beschwerde in diesem Punkt als unbegründet.</w:t>
      </w:r>
    </w:p>
    <w:p>
      <w:r>
        <w:rPr>
          <w:b/>
        </w:rPr>
        <w:t>E. 5.1</w:t>
      </w:r>
    </w:p>
    <w:p>
      <w:r>
        <w:t>Schliesslich machen die Beschwerdeführer eine Verletzung des Verhältnis- mässigkeitsprinzips geltend und bestreiten insbesondere das Vorliegen des sachlichen Zusammenhangs zwischen den betroffenen Konten und der amerikanischen Strafuntersuchung. In den von der Herausgabe betroffenen Unterlagen würden sich auch private Informationen über natürliche Perso- nen befinden, die für die ersuchende Behörde irrelevant und nicht geeignet seien, die Untersuchung voranzubringen. Überdies seien in den Bankunter- lagen des Kontos Nr. 1 Informationen enthalten, die offenkundig vom An- waltsgeheimnis erfasst seien und daher im Rahmen einer Triage auszuson- dern oder zu schwärzen seien. Dem ergänzenden Ersuchen könnten einzig zwei konkrete Transaktionen in Bezug auf das Konto der Beschwerdeführe- rin im Umfang von rund EUR 18,5 Mio. entnommen werden, die aus dem legalen Darlehensvertrag stammen. Betreffend andere Transaktionen habe der Beschwerdegegner nicht aufgezeigt, inwiefern diese in einem Zusam- menhang mit dem im ergänzenden Ersuchen dargestellten inkriminierten Verhalten stehen sollen, und erwähne nur, dass Zahlungen von oder an na- türliche oder juristische Personen geleistet worden seien, welche ihm aus abgeschlossenen Verfahren bekannt seien. Diese Behauptungen des Be- schwerdegegners seien für die Beschwerdeführer nicht verifizierbar. Da der Beschwerdegegner zur Begründung der Verhältnismässigkeit in der Schlussverfügung auf einschlägige Aktenstücke aus hängigen und abge- schlossenen Verfahren Bezug nehme, sei den Beschwerdeführern im</w:t>
      </w:r>
    </w:p>
    <w:p>
      <w:r>
        <w:t>- 14 -</w:t>
      </w:r>
    </w:p>
    <w:p>
      <w:r>
        <w:t>Rahmen des Beschwerdeverfahrens auch in diese Einsicht zu gewähren. Eventualiter seien die durch Akten nicht belegten Ausführungen der Be- schwerdeantwort und Schlussverfügung nicht zu berücksichtigen (act. 1, S. S. 5 ff. und 19 ff.; act. 10, S. 5 ff.).</w:t>
      </w:r>
    </w:p>
    <w:p>
      <w:r>
        <w:rPr>
          <w:b/>
        </w:rPr>
        <w:t>E. 5.2.1</w:t>
      </w:r>
    </w:p>
    <w:p>
      <w:r>
        <w:t>Rechtshilfemassnahmen haben generell dem Prinzip der Verhältnismässig- keit zu genügen (statt vieler vgl.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jenes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m.w.H.). Hierbei ist auch zu beachten, dass für das ausländische Strafverfahren nicht nur belastende, sondern auch entlastende Beweismittel von Bedeutung sein können, um einen bestehenden Verdacht allenfalls zu widerlegen (TPF 2011 97 E. 5.1 S. 106 m.w.H.).</w:t>
      </w:r>
    </w:p>
    <w:p>
      <w:r>
        <w:rPr>
          <w:b/>
        </w:rPr>
        <w:t>E. 5.2.2</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- 15 -</w:t>
      </w:r>
    </w:p>
    <w:p>
      <w:r>
        <w:t>Es obliegt der beschwerdeführenden Partei, jedes einzelne Aktenstück, das nach ihrer Auffassung nicht an die ersuchende Behörde übermittelt werden darf, zu bezeichnen. Zugleich hat sie für jedes der so bezeichneten Akten- stücke darzulegen, weshalb es im ausländischen Strafverfahren nicht erheb- lich sein kann (BGE 126 II 258 E. 9c; 122 II 367 E. 2d).</w:t>
      </w:r>
    </w:p>
    <w:p>
      <w:r>
        <w:rPr>
          <w:b/>
        </w:rPr>
        <w:t>E. 5.3.1</w:t>
      </w:r>
    </w:p>
    <w:p>
      <w:r>
        <w:t>Der Beschwerdegegner weist im Rahmen der Darlegung des sachlichen Zu- sammenhangs auf zahlreiche Transaktionen hin, die seiner Ansicht nach verdächtig seien und sich aus den edierten Bankunterlagen ergeben würden. Dabei erwähnt der Beschwerdegegner Transaktionen, die zu Lasten oder zu Gunsten von diversen Gesellschaften oder Personen erfolgt seien, die Ge- genstand der von der ersuchenden Behörde geführten Untersuchung seien oder gar im Zentrum der Ermittlungen stünden. Genannt werden beispiels- weise R. Corp., S. Foundation, S. Ltd., AA. Ltd., BB. SA sowie C. Diese Er- kenntnisse würden sich laut Ausführungen in der Schlussverfügung aus se- paraten (teilweise bereits abgeschlossenen) Rechtshilfeverfahren ergeben (act. 1.1, S. 14 ff.).</w:t>
      </w:r>
    </w:p>
    <w:p>
      <w:r>
        <w:rPr>
          <w:b/>
        </w:rPr>
        <w:t>E. 5.3.2</w:t>
      </w:r>
    </w:p>
    <w:p>
      <w:r>
        <w:t>Was das Konto der Beschwerdeführerin bei der Bank I. mit der Nr. 6 (7) an- betrifft, weist der Beschwerdegegner in der Schlussverfügung auf zwei Transaktion hin. Es handelt sich um die im Ersuchen vom 9. Dezember 2020 erwähnten Überweisungen von O. Ltd. auf das Konto der Beschwerdeführe- rin vom 4. und 9. März 2015 im Umfang von insgesamt EUR 18,5 Mio. (act. 1.4, S. 6; Verfahrensakten, act. 25, Account Statements, Kontoauszug vom 1. Januar – 31. Dezember 2015). Diesbezüglich ist ein sachlicher Zu- sammenhang zwischen dem Konto Nr. 6 (7) und dem ausländischen Straf- verfahren zu bejahen. Die Beschwerde ist in diesem Punkt abzuweisen.</w:t>
      </w:r>
    </w:p>
    <w:p>
      <w:r>
        <w:rPr>
          <w:b/>
        </w:rPr>
        <w:t>E. 5.3.3</w:t>
      </w:r>
    </w:p>
    <w:p>
      <w:r>
        <w:t>Die übrigen in der Schlussverfügung genannten Gesellschaften oder Perso- nen und die Transaktionen zur Darlegung des Sachzusammenhangs betref- fend die auf den Beschwerdeführer lautenden Konten Nrn. 1 und 2 bei der Bank H. resp. Bank G. ergeben sich jedoch weder aus dem vorliegenden Ersuchen vom 9. Dezember 2020 noch aus den dem Gericht eingereichten und von der Herausgabe betroffenen Bankunterlagen. Ebenso wenig erge- ben sich diese aus dem mit der Beschwerdeantwort eingereichten Ersuchen vom 7. Dezember 2021, da es andere auf die Beschwerdeführerin lautenden Konten zum Gegenstand hat. Folglich kann das Gericht die in der Schluss- verfügung erwähnten Transaktionen und damit die Angaben des Beschwer- degegners zum sachlichen Zusammenhang zwischen den Konten Nrn. 1 und 2 und die hier gerügte Verletzung des Verhältnismässigkeitsprinzips nicht abschliessend beurteilen. Unter diesen Umständen ist eine schwerwie- gende Verletzung des Anspruchs auf rechtliches Gehör festzustellen, unter</w:t>
      </w:r>
    </w:p>
    <w:p>
      <w:r>
        <w:t>- 16 -</w:t>
      </w:r>
    </w:p>
    <w:p>
      <w:r>
        <w:t>welchen eine Heilung der Gehörsverletzung von vornherein ausser Betracht fällt (zur möglichen Heilung einer Gehörsverletzung vgl. supra E. 3.2.2 sowie BGE 115 V 297 E. 2h S. 305 m.H.; TPF 2007 57 E. 3.2; Entscheide des Bundesstrafgerichts RR.2007.165 vom 14. Februar 2008 E. 4.2; RR.2007.143 vom 3. Dezember 2007 E. 2.1). Die Schlussverfügung ist in diesen Punkten (Dispositivziffern 2 und 3) aufgrund der festgestellten Ge- hörsverletzung aufzuheben. Bei diesem Ergebnis kann auf die Prüfung der übrigen von den Beschwerdeführern erhobenen Rügen und der entspre- chenden (Eventual-)Anträge verzichtet werden.</w:t>
      </w:r>
    </w:p>
    <w:p>
      <w:r>
        <w:rPr>
          <w:b/>
        </w:rPr>
        <w:t>E. 6</w:t>
      </w:r>
    </w:p>
    <w:p>
      <w:r>
        <w:t>Nach dem Gesagten ist die Beschwerde teilweise gutzuheissen. Die Dispo- sitivziffern 2 und 3 der Schlussverfügung vom 22. September 2022 sind auf- zuheben und zur Neubeurteilung an den Beschwerdegegner zurückzuwei- sen. Im Übrigen ist die Beschwerde abzuweisen.</w:t>
      </w:r>
    </w:p>
    <w:p>
      <w:r>
        <w:rPr>
          <w:b/>
        </w:rPr>
        <w:t>E. 7.1</w:t>
      </w:r>
    </w:p>
    <w:p>
      <w:r>
        <w:t>Die Gerichtsgebühr ist den Parteien nach dem Ausgang des Verfahrens auf- zuerlegen (Art. 63 Abs. 1 VwVG). Die Beschwerdeführer haben rund zur Hälfte obsiegt. Damit ist den Beschwerdeführern eine reduzierte Gerichtsge- bühr von Fr. 2'500.-- aufzulegen (vgl. Art. 63 Abs. 5 VwVG i.V.m. Art. 73 StBOG sowie Art. 5 und Art. 8 Abs. 3 lit. a des Reglements des Bundesstraf- gerichts vom 31. August 2010 über die Kosten, Gebühren und Entschädi- gungen in Bundesstrafverfahren [BStKR; SR 173.713.162]) und mit dem ent- sprechenden Betrag am geleisteten Kostenvorschuss von Fr. 5'000.-- zu verrechnen. Die Bundesstrafgerichtskasse ist anzuweisen, den Beschwer- deführern den Kostenvorschuss in der Höhe von Fr. 2'500.-- zurückzuerstat- ten.</w:t>
      </w:r>
    </w:p>
    <w:p>
      <w:r>
        <w:rPr>
          <w:b/>
        </w:rPr>
        <w:t>E. 7.2</w:t>
      </w:r>
    </w:p>
    <w:p>
      <w:r>
        <w:t>Gemäss Praxis der Beschwerdekammer wird den Beschwerdeführern eine Entschädigung zugesprochen, wenn die Verletzung des rechtlichen Gehörs durch die Vorinstanz im Beschwerdeverfahren nicht geheilt werden kann (TPF 2008 172 E. 7.2). Angesichts des Ausgangs des Verfahrens hat der Beschwerdegegner den Beschwerdeführern für ihre Aufwendungen im vor- liegenden Beschwerdeverfahren eine reduzierte Entschädigung zu leisten. Nachdem der Rechtsvertreter dem Gericht keine Kostennote eingereicht hat, ist den Beschwerdeführern ermessenweise eine Prozessentschädigung von Fr. 1'000.-- (inkl. MwSt.) zuzusprechen (vgl. Art. 64 Abs. 1 und 2 VwVG; Art. 73 Abs. 1 lit. c StBOG i.V.m. Art. 12 Abs. 2 BStKR; SR 173.713.162). Der Beschwerdegegner hat den Beschwerdeführern eine Entschädigung von Fr. 1'000.-- zu bezahlen.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