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RR.2022.195 vom 22. März 2023</w:t>
      </w:r>
    </w:p>
    <w:p>
      <w:r>
        <w:t>Bundesstrafgericht, 2023-03-22, IT</w:t>
      </w:r>
    </w:p>
    <w:p>
      <w:r>
        <w:rPr>
          <w:b/>
        </w:rPr>
        <w:t xml:space="preserve">Quelle: </w:t>
      </w:r>
      <w:r>
        <w:t>https://mcp.opencaselaw.ch/entscheid/bstger_RR.2022.195</w:t>
      </w:r>
    </w:p>
    <w:p>
      <w:r>
        <w:t>FR: TPF RR.2022.195 du 22 mars 2023</w:t>
      </w:r>
    </w:p>
    <w:p>
      <w:r>
        <w:t>IT: TPF RR.2022.195 del 22 marzo 2023</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settoriali con l’UE”, 8.1 Allegato A). Di rilievo nella fattispecie sono anche la Convenzione sul riciclaggio, la ricerca, il sequestro e la confisca dei proventi di reato, conclusa a Strasburgo l'8 novembre 1990, entrata in vigore il 1° settem- bre 1993 per la Svizzera ed il 1° maggio 1994 per l'Italia (CRic; RS. 0.311.53), l’art. 13 della Convenzione delle Nazioni Unite contro la criminalità organizzata transnazionale, conclusa il 15 novembre 2000, entrata in vigore per l’Italia il 1° settembre 2006 e per la Svizzera il 26 novembre 2006 (RS 0.311.54), nonché l’art. 55 della Convenzione delle Nazioni Unite contro la corruzione (in seguito: UNCAC), conclusa il 31 ottobre 2003, entrata in vigore per l’Italia il 4 novembre</w:t>
      </w:r>
    </w:p>
    <w:p>
      <w:r>
        <w:t>- 5 -</w:t>
      </w:r>
    </w:p>
    <w:p>
      <w:r>
        <w:t>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applicano la legge sull'assi- stenza in materia penale, unitamente alla relativa ordinanza (OAIMP; RS 351.11; v. art. 1 cpv. 1 AIMP, art. I n. 2 Accordo italo-svizzero; DTF 142 IV 250 consid. 3; 140 IV 123 consid. 2; 137 IV 33 consid. 2.2.2; 136 IV 82 con- 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consegna di valori patrimo- niali del 26 settembre 2022, il ricorso è ricevibile sotto il profilo degli art. 25 cpv. 1, 80e cpv. 1 e 80k AIMP. Titolare della relazione oggetto della decisione impu- gnata, la ricorrente è legittimata a ricorrere (v. art. 80h lett. b AIMP e art. 9a lett. a OAIMP nonché DTF 137 IV 134 consid. 5.2.1; 130 II 162 consid. 1.1; 128 II 211 consid. 2.3; TPF 2007 79 consid. 1.6 pag. 82).</w:t>
      </w:r>
    </w:p>
    <w:p>
      <w:r>
        <w:rPr>
          <w:b/>
        </w:rPr>
        <w:t>E. 2</w:t>
      </w:r>
    </w:p>
    <w:p>
      <w:r>
        <w:t>L’art. 74a cpv. 1 AIMP prevede che gli oggetti o i beni sequestrati a scopo con- servativo possono essere consegnati su richiesta all’autorità estere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 destinati a determinare o a ricompensare l’autore di un reato e il valore di rim- piazzo (lett. c). La consegna può avvenire in ogni stadio del procedimento estero, di regola su decisione passata in giudicato ed esecutiva dello Stato ri- chiedente (art. 74a cpv. 3 AIMP). Giusta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w:t>
      </w:r>
    </w:p>
    <w:p>
      <w:r>
        <w:t>- 6 -</w:t>
      </w:r>
    </w:p>
    <w:p>
      <w:r>
        <w:t>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Di rilievo sul piano del diritto internazionale sono anche l’art. VIII dell’Accordo italo-svizzero di analogo contenuto dell’art. 74a AIMP il quale riserva qualsiasi pretesa, che non sia stata soddisfatta o garantita, avan- zata sui beni richiesti da una persona estranea al reato (art. VIII n. 2 Accordo italo-svizzero), nonché l’art. 55 n. 9 UNCAC e l’art. 13 n. 8 della Convenzione contro la criminalità organizzata a tutela dei diritti delle terze parti in buona fede.</w:t>
      </w:r>
    </w:p>
    <w:p>
      <w:r>
        <w:rPr>
          <w:b/>
        </w:rPr>
        <w:t>E. 2.2</w:t>
      </w:r>
    </w:p>
    <w:p>
      <w:r>
        <w:t>nonché HIRSIG-VOUILLOZ, Commentario romando, 2a ediz. 2021, n. 43 ad art. 70 CP). Contrariamente a quanto affermato dall’UFG, un’eventuale viola- zione non può evidentemente essere sanata dinanzi al giudice dell’assistenza, il quale non ha potere giurisdizionale sul merito della procedura estera, ma deve semplicemente sindacare (dall’esterno) se la procedura di confisca all’estero è o meno conforme agli standard della CEDU e del Patto ONU II. Non essendo chiaro, sulla base degli atti dell’incarto, se e in che maniera A. sia stata coinvolta</w:t>
      </w:r>
    </w:p>
    <w:p>
      <w:r>
        <w:t>- 7 -</w:t>
      </w:r>
    </w:p>
    <w:p>
      <w:r>
        <w:t>nella procedura di confisca dei valori litigiosi, occorre interpellare all’uopo l’au- torità rogante, ciò tenuto anche conto che i valori in questione sono attualmente oggetto di sequestro rogatoriale anche nell’ambito di un procedimento penale condotto dalla Procura di Bergamo a carico di A. per titolo di riciclaggio di de- naro che l’autorità sospetta essere legato alla vicenda sopra descritta. Sarà utile in particolare chiarire la posizione processuale della predetta e segnatamente se ella è stata messa a conoscenza della procedura di confisca in questione e, in caso affermativo, quali passi ha eventualmente intrapreso o potrà intrapren- dere per opporsi alla misura” (sentenza RR.2021.159 consid. 3.2). La presente autorità ha quindi concluso che “il MPC dovrà […] interpellare l’autorità rogante affinché fornisca i necessari chiarimenti. Sulla base di quest’ultimi, l’autorità d’esecuzione statuirà nuovamente. Va da sé che il sequestro è nel frattempo mantenuto conformemente all’art. 33a OAIMP. Alla luce di quanto precede, non occorre chinarsi sulle altre censure presentate dalla ricorrente” (ibidem consid. 3.3).</w:t>
      </w:r>
    </w:p>
    <w:p>
      <w:r>
        <w:rPr>
          <w:b/>
        </w:rPr>
        <w:t>E. 3</w:t>
      </w:r>
    </w:p>
    <w:p>
      <w:r>
        <w:t>Nella procedura RR.2021.159, sfociata nella citata sentenza del 17 gennaio 2022 (v. supra Fatti lett. D), la ricorrente aveva censurato “la violazione del suo diritto di essere sentita e del principio del contraddittorio, nella misura in cui la decisione di confisca dei valori litigiosi è stata emanata nell’ambito di un proce- dimento penale a carico di F. e altri, senza che le sia stata data la possibilità, quale intestataria del conto n. 1 presso la banca J., di esprimersi in proposito. Ne deriverebbe una palese violazione dell’art. 6 CEDU” (sentenza RR.2021.159 consid. 3). Statuendo su tale censura, questa Corte, dopo aver ripreso il conte- nuto del complemento rogatoriale del 15 giugno 2020 presentato dalla Corte di appello di Brescia, ha affermato che “nella misura in cui la confisca dei valori litigiosi è stata pronunciata nell’ambito di un procedimento a carico di F. e altri e che A., intestataria del conto sul quale detti valori sono depositati, è stata giudicata separatamente dai predetti, vi è da chiedersi se la stessa abbia potuto esprimersi in proposito, in ossequio al suo diritto di essere sentita e nel rispetto quindi dell’art. 2 lett. a AIMP richiamati gli art. 6 e 7 CEDU (v. sentenza del 28 giugno 2018 nella causa G.I.E.M. S.r.l. e altri contro Italia, n. 274; v. del resto anche, per quanto riguarda il diritto svizzero, DTF 121 IV 365 consid. 7c, sen- tenza del Tribunale penale federale RR.2016.181 del 23 dicembre 2016 consid.</w:t>
      </w:r>
    </w:p>
    <w:p>
      <w:r>
        <w:rPr>
          <w:b/>
        </w:rPr>
        <w:t>E. 4</w:t>
      </w:r>
    </w:p>
    <w:p>
      <w:r>
        <w:t>Sulla base di quanto precede, il MPC ha contattato l’autorità rogante in data 24 gennaio 2022, al fine di chiarire quanto richiesto da questa Corte (v. act. 1.3). Con scritto del 16 febbraio seguente, la Corte di appello di Brescia ha fornito una prima risposta alle problematiche emerse dinanzi al giudice dell’assistenza elvetico (v. act. 1.5). Sul contenuto di tale scritto, la ricorrente ha avuto la pos- sibilità di esprimersi, chiedendo al MPC di non dare seguito alle richieste formu- late dall’autorità rogante, con conseguente rigetto della commissione rogatoria italiana (v. act. 1.6). Con ulteriore scritto del 24 maggio 2022, la Corte di appello di Brescia ha fornito ulteriori informazioni relative al sistema processuale italiano finalizzate a chiarire le criticità evidenziate da questa Corte (v. act. 1.8). Esso è stato a sua volta trasmesso alla ricorrente, la quale, in data 21 giugno 2022, ha ribadito la sua posizione (v. act. 1.9). Il 4 luglio 2022, il MPC ha richiesto un ulteriore chiarimento all’autorità italiana (v. act. 1.10). La risposta della Corte di appello di Brescia del 25 luglio 2022 (v. act. 1.12) è stata anch’essa trasmessa alla ricorrente (v. act. 1.11), la quale, in data 1° settembre 2022, ha confermato le sue conclusioni (v. act. 1.13), riproposte di riflesso con il proprio gravame del 14 ottobre 2022 (v. act. 1).</w:t>
      </w:r>
    </w:p>
    <w:p>
      <w:r>
        <w:rPr>
          <w:b/>
        </w:rPr>
        <w:t>E. 4.1.1</w:t>
      </w:r>
    </w:p>
    <w:p>
      <w:r>
        <w:t>Nel suo scritto del 24 maggio 2022, la Corte di appello di Brescia ha affermato quanto segue:</w:t>
      </w:r>
    </w:p>
    <w:p>
      <w:r>
        <w:t>«1) La richiesta della Procura della Repubblica di Brescia formulata in data</w:t>
      </w:r>
    </w:p>
    <w:p>
      <w:r>
        <w:rPr>
          <w:b/>
        </w:rPr>
        <w:t>E. 4.1.2</w:t>
      </w:r>
    </w:p>
    <w:p>
      <w:r>
        <w:t>Nel suo susseguente scritto del 25 luglio 2022, la Corte di appello di Brescia, su richiesta del MPC, ha fornito ulteriori dettagli sulla procedura applicabile in</w:t>
      </w:r>
    </w:p>
    <w:p>
      <w:r>
        <w:t>- 11 -</w:t>
      </w:r>
    </w:p>
    <w:p>
      <w:r>
        <w:t>casi come quello in esame, confermando, tra l’altro, che nel caso in cui “il terzo si trovi destinatario di una sentenza irrevocabile di confisca, mediante la proce- dura dell’incidente di esecuzione il terzo stesso può comunque far valere che il bene confiscato oltre che a essere di sua formale proprietà è anche nella sua esclusiva disponibilità. In caso di esito positivo dell’incidente di esecuzione, il bene se già materialmente confiscato dovrà essere restituito. Trattandosi di bene immobile la restituzione ovviamente non crea problemi e così anche per il denaro che, essendo bene fungibile, può essere sempre restituito nel tantun- dem” (act. 1.12, pag. 3).</w:t>
      </w:r>
    </w:p>
    <w:p>
      <w:r>
        <w:t>Sulla conformità alla CEDU e ai trattati internazionali della normativa italiana, che non prevede la notifica della decisione di confisca al terzo titolare dei beni oggetto della misura, la Corte di appello di Brescia ha riportato «quanto deciso da Cassazione penale, sez. III, 20/03/2019, n. 17399: “Questa Corte, del resto, ha recentemente affermato che, in tema di confisca, la mancata previsione della partecipazione al giudizio dei terzi interessati, al di fuori delle ipotesi previste dall’art. 104-bis disp. att. c.p.p. e art. 240-bis c.p., non è contraria all’art. 8 diret- tiva U.E. 2014/42, artt. 6 e 13 CEDU e 1, I prot. addiz. CEDU in relazione all’art. 117 Cost., potendo gli stessi esercitare rimedi cautelari nel corso del procedi- mento penale ed incidente di esecuzione avverso la statuizione definitiva della misura reale (Sez. 2, mi. 53384 del 1211012018 - dep. 28/11/2018, Lega Nord, Rv. 274242). ... prima del passaggio in giudicato della sentenza di condanna, il terzo estraneo, sia esso persona fisica o persona giuridica, proprietario del bene oggetto di un provvedimento ablativo, ha comunque la possibilità di tutelare le proprie ragioni già nel giudizio cognizione. Invero, le Sezioni Unite di questa Corte, hanno affermato che, in tema di misure cautelari reali, il terzo rimasto estraneo al processo, formalmente proprietario del bene già in sequestro, di cui sia stata disposta con sentenza la confisca, può chiedere al giudice della cogni- zione, prima che la pronuncia sia divenuta irrevocabile, la restituzione del bene e, in caso di diniego, proporre appello dinanzi al tribunale del riesame (Sez. U, n. 48126 del 20/07/2017 - dep. 19/10/2017, Muscari e altro, Rv. 270938). Quest’interpretazione è stata poi avallata dalla Corte costituzionale con la sen- tenza n. 253 del 6 dicembre 2017, la quale ha dichiarato inammissibili le que- stioni di legittimità costituzionale dell’art. 573 c.p.p., art. 579 c.p.p., comma 3, e art. 593 c.p.p., in riferimento agli arti. 3,24,42 e 111 Cost. e art. 117 Cost., comma 1, quest’ultimo in relazione agli arti. 6 e 13 CEDU, nella parte in cui non si prevede, a favore di terzi incisi nel diritto di proprietà per effetto della sentenza di primo grado, la facoltà di proporre appello sul solo capo contenente la statui- zione di confisca, perché dette questioni “sono state poste senza tenere conto della possibilità di un’interpretazione costituzionalmente orientata (certamente compatibile con la lettera della legge e la cornice normativa entro cui essa si inserisce), che avrebbe offerto al terzo, pur dopo la confisca, proprio quella forma di tutela, ovvero il rimedio cautelare, che il rimettente ha giudicato</w:t>
      </w:r>
    </w:p>
    <w:p>
      <w:r>
        <w:t>- 12 -</w:t>
      </w:r>
    </w:p>
    <w:p>
      <w:r>
        <w:t>soddisfacente anche nel raffronto con la partecipazione al processo penale di primo grado”» (act. 1.12, pag. 3 e seg.).</w:t>
      </w:r>
    </w:p>
    <w:p>
      <w:r>
        <w:t>L’autorità estera ha concluso affermando che «il presupposto della confisca dei beni del terzo è che essi siano, in realtà, riconducibili e quindi nell’effettiva di- sponibilità dell’autore del reato. La tutela che viene assicurata al terzo dagli strumenti che si sono detti (ricorso al tribunale del riesame; istanza di restitu- zione a appello al tribunale del riesame contro la decisione negativa; dopo la irrevocabilità della sentenza: incidente di esecuzione) è funzionale a demolire proprio il presupposto (del sequestro e) della confisca ovvero la intestazione fittizia del bene. Nel caso in cui il terzo dimostri l’erroneità di questo presupposto egli ha diritto alla restituzione del bene a prescindere da ogni considerazione circa la colpevolezza dell’autore del reato. È per questo che il terzo non è invece chiamato nel processo per “difendere” l’accusato e per dimostrare, quindi, l’ine- sistenza del reato o la sua non attribuzione all’imputato. Il fatto che non gli sia notificato il provvedimento (di sequestro e) di confisca non pare poter pregiudi- care i suoi diritti posto che il terzo potrà attivare i rimedi che gli sono consentiti quando comunque apprende dell’imposizione del vincolo sul bene» (act. 1.12, pag. 4).</w:t>
      </w:r>
    </w:p>
    <w:p>
      <w:r>
        <w:rPr>
          <w:b/>
        </w:rPr>
        <w:t>E. 4.2</w:t>
      </w:r>
    </w:p>
    <w:p>
      <w:r>
        <w:t>Orbene, preso atto delle garanzie procedurali esistenti nel caso concreto a tu- tela dei diritti della ricorrente, segnatamente di fronte al giudice dell’esecuzione ex art. 676 comma 2 CPP/I, non sussiste violazione né del diritto di essere sen- tita della ricorrente né del principio del contraddittorio, per cui non vi è motivo di ritenere che il procedimento estero non corrisponda ai principi della CEDU e che quindi la domanda di cooperazione sia irricevibile ex art. 2 lett. a AIMP. Per il resto, non spetta al giudice dell’assistenza approfondire ulteriormente il diritto estero (v. sentenze del Tribunale penale federale RR.2020.28 del 16 aprile 2020 consid. 3.2.4; RR.2019.296+329 del 13 febbraio 2020 consid. 10.2), pre- cisato che, in ossequio al principio della buona fede tra Stati (v. DTF 144 II 206 consid. 4.4 e rinvii), questa Corte non ha motivo di dubitare della correttezza di quanto esposto dall’autorità rogante mediante i summenzionati scritti (v. supra consid. 4.1). Ulteriori ostacoli alla concessione dell’assistenza non sono ravvi- sabili, né vengono del resto fatti valere nel gravame in esame. Tutti i requisiti di cui sopra al consid. 2 sono dunque adempiuti e la consegna a scopo di confisca ex art. 74a cpv. 1-3 AIMP è stata correttamente ammessa dall’autorità prece- dente.</w:t>
      </w:r>
    </w:p>
    <w:p>
      <w:r>
        <w:t>5. In conclusione, il ricorso va integralmente respinto e la decisione impugnata confermata.</w:t>
      </w:r>
    </w:p>
    <w:p>
      <w:r>
        <w:t>- 13 -</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6'000.–, a carico della ricorrente. Essa è coperta dall'anticipo delle spese del medesimo importo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