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RR.2022.191 vom 12. April 2023</w:t>
      </w:r>
    </w:p>
    <w:p>
      <w:r>
        <w:t>Bundesstrafgericht, 2023-04-12, IT</w:t>
      </w:r>
    </w:p>
    <w:p>
      <w:r>
        <w:rPr>
          <w:b/>
        </w:rPr>
        <w:t xml:space="preserve">Quelle: </w:t>
      </w:r>
      <w:r>
        <w:t>https://mcp.opencaselaw.ch/entscheid/bstger_RR.2022.191</w:t>
      </w:r>
    </w:p>
    <w:p>
      <w:r>
        <w:t>FR: TPF RR.2022.191 du 12 avril 2023</w:t>
      </w:r>
    </w:p>
    <w:p>
      <w:r>
        <w:t>IT: TPF RR.2022.191 del 12 aprile 2023</w:t>
      </w:r>
    </w:p>
    <w:p>
      <w:pPr>
        <w:pStyle w:val="Heading2"/>
      </w:pPr>
      <w:r>
        <w:t>Regeste</w:t>
      </w:r>
    </w:p>
    <w:p>
      <w:r>
        <w:t>Assistenza giudiziaria internazionale in materia penale all'Italia; consegna di mezzi di prova</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w:t>
      </w:r>
    </w:p>
    <w:p>
      <w:r>
        <w:t>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n. 1 denominato “F.”, il ricorrente è legittimato a ricorrere per tale relazione (v. art. 80h lett. b AIMP e art. 9a lett. a OAIMP nonché DTF 137 IV 134 consid. 5.2.1; 130 II 162 consid. 1.1; 128 II 211 con- sid. 2.3; TPF 2007 79 consid. 1.6 pag. 82). La legittimazione ricorsuale fa per contro difetto per quanto riguarda le altre relazioni oggetto della decisione im- pugnata, di cui egli non è intestatario.</w:t>
      </w:r>
    </w:p>
    <w:p>
      <w:r>
        <w:rPr>
          <w:b/>
        </w:rPr>
        <w:t>E. 2</w:t>
      </w:r>
    </w:p>
    <w:p>
      <w:r>
        <w:t>Il ricorrente afferma innanzitutto che, pur concernendolo direttamente, in quanto imputato all’estero nonché destinatario di misure provvisionali, la decisione im- pugnata non gli sarebbe stata notificata – essa sarebbe pervenuta al suo patro- cinatore in quanto legale anche dell’altro imputato –, ciò che sarebbe irrito, abu- sivo e lesivo dei suoi diritti. Egli si attende quindi “una nuova notifica della stessa, con la possibilità di avviare la procedura ricorsuale entro i 30 giorni suc- cessivi alla corretta intimazione postulata” (v. act. 1, pag. 3).</w:t>
      </w:r>
    </w:p>
    <w:p>
      <w:r>
        <w:rPr>
          <w:b/>
        </w:rPr>
        <w:t>E. 2.1</w:t>
      </w:r>
    </w:p>
    <w:p>
      <w:r>
        <w:t>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2000, pag. 449 con rinvii). Una violazione di questo di- 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 ché 1A.54/2004 del 30 aprile 2004; TPF 2008 172 consid. 2.3; TPF 2007 57; ZIMMERMANN, op. cit., n. 472).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rPr>
          <w:b/>
        </w:rPr>
        <w:t>E. 2.2</w:t>
      </w:r>
    </w:p>
    <w:p>
      <w:r>
        <w:t>In concreto, si constata che la decisione impugnata non è stata effettivamente notificata al ricorrente, il quale è venuto a conoscenza della stessa in virtù del fatto che il suo patrocinatore rappresenta gli interessi anche di un coimputato, al quale la decisione è stata invece correttamente notificata. L’autorità</w:t>
      </w:r>
    </w:p>
    <w:p>
      <w:r>
        <w:t>d’esecuzione ha quindi violato il diritto di essere sentito del ricorrente. Tenuto conto che la decisione in questione è stata comunque recapitata al patrocina- tore del ricorrente, trattasi di una violazione non grave che può essere sanata dinanzi a questa Corte (v. supra consid. 2.1). Della stessa si deve tuttavia te- nere conto in ambito di spese processuali (v. TPF 2008 172 consid. 6 e 7).</w:t>
      </w:r>
    </w:p>
    <w:p>
      <w:r>
        <w:rPr>
          <w:b/>
        </w:rPr>
        <w:t>E. 3</w:t>
      </w:r>
    </w:p>
    <w:p>
      <w:r>
        <w:t>Il ricorrente afferma che la decisione impugnata non menziona, inspiegabil- mente e a detrimento dei suoi diritti, il destino dei sequestri, segnatamente del conto corrente n. 1 denominato “F.” presso la banca E. a lui intestato.</w:t>
      </w:r>
    </w:p>
    <w:p>
      <w:r>
        <w:t>Ora, nella misura in cui la decisione impugnata riguarda unicamente la docu- mentazione concernente il conto corrente di cui sopra e non i valori patrimoniali ivi depositati, i quali sono bloccati in virtù della decisione di entrata in materia e incidentale del 29 gennaio 2016 (v. atto 19 incarto MP-TI), tutte le censure in questo ambito devono essere dichiarate inammissibili. A tal proposito, si rileva che, per contestare il sequestro in questione, il ricorrente deve dapprima chie- derne la revoca all’autorità d’esecuzione, la cui decisione è impugnabile dinanzi a questa Corte giusta gli art. 80e cpv. 1 e 25 cpv. 1 AIMP (v. sentenza del Tri- bunale penale federale RR.2017.340 del 29 marzo 2018 consid. 1.4).</w:t>
      </w:r>
    </w:p>
    <w:p>
      <w:r>
        <w:rPr>
          <w:b/>
        </w:rPr>
        <w:t>E. 4</w:t>
      </w:r>
    </w:p>
    <w:p>
      <w:r>
        <w:t>Il ricorrente sostiene che la rogatoria, “in specie in relazione all’esposizione fat- tuale e agli indizi alla base della richiesta sia quella di adozione di misure prov- visionali (sequestri), che di trasmissione di documenti bancari” sia gravemente lacunosa e contraddittoria (act. 1, pag. 12).</w:t>
      </w:r>
    </w:p>
    <w:p>
      <w:r>
        <w:rPr>
          <w:b/>
        </w:rPr>
        <w:t>E. 4.1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w:t>
      </w:r>
    </w:p>
    <w:p>
      <w:r>
        <w:t>consid. 6.3; 136 IV 4 consid. 4.1; 133 IV 76 consid. 2.2; 132 II 81 consid. 2.1; 118 Ib 111 consid. 5b pag. 121 e seg; TPF 2011 194 consid. 2.1.).</w:t>
      </w:r>
    </w:p>
    <w:p>
      <w:r>
        <w:rPr>
          <w:b/>
        </w:rPr>
        <w:t>E. 4.2</w:t>
      </w:r>
    </w:p>
    <w:p>
      <w:r>
        <w:t>Nella fattispecie, ribadito quanto già esposto in precedenza (v. supra Fatti lett. A), l’autorità rogante afferma che «si è accertato inoltre che – in virtù di un ac- cordo di finanziamento sottoscritto in data 15 marzo 2011 – la D. S.p.A. ha ri- cevuto dalla società svizzera I. S.A. la somma di €. 3 milioni a titolo di versa- mento in conto futuro aumento di capitale. La I. S.A. ha sede a Lugano in via Z. e ha un capitale sociale pari a CHF 500.000; J. ricopre la carica di Presidente (cioè il medesimo ruolo assunto in I. S.A.) e K., già Consigliere d’amministra- zione di I: S.A., risulta ricoprire la carica di Vìce Presidente. Dall’analisi dei col- legamenti e dei ruoli assunti da J. in numerose entità societarie (circa 90 tra attive e cessate) e da K., appare verosimile ritenere che I. S.A. sia amministrata fiduciariamente per conto di beneficiari economici la cui identità non risulta di- chiarata. Dal 10 luglio 2008 la società fiduciaria svizzera L. SA risulta rivestire il ruolo di organismo di controllo e di revisione di I. S.A. Accertata l’assenza di alcuna delibera di aumento di capitale da parte di D. S.p.A., in data 3 febbraio 2012 I. S.A. ha richiesto la restituzione della somma versata, in ragione dei se- guenti termini, riconosciuti “a mero titolo di cortesia”, vista la “rilevanza dell’im- porto dovuto ci rimborso”. Le coordinate bancarie indicate nella corrispondenza privata al fine di effettuare i versamenti sono banca E. IBAN: n. 3; SWIFT […]. È stato accertato che la D. S.p.A. ha effettuato un versamento pari a € 1 milione a titolo di “rimborso accordo di investimento” in favore di I. S.A. con valuta 18 giugno 2012 potendosi ravvisare in tale condotta anche estremi integranti il delitto di riciclaggio finalizzato ad occultare somme provenienti dal delitto di ban- carotta fraudolenta. Inoltre, sono stati acquisiti i seguenti documenti elettronici: una lettera datata 22 gennaio 2013 indirizzata all’attenzione di J. presso la so- cietà svizzera M. AG avente sede presso il medesimo indirizzo di I. S.A. (c/o N. AG sita a Zug in via Y.). Mediante tale missiva, che non risulta firmata, B., nella sua qualità di Presidente del Consiglio di Amministrazione di O. S.r.l., comunica di accettare le condizioni fissate per la concessione di un finanziamento erogato dalla società M. AG pari a € 2 milioni, da rimborsare in 12 rate mensili da € 200.000 cadauna a partire dal 30 giugno 2013; una disposizione di bonifico ordinata da O. S.r.l. (banca P.) a favore di M. AG c/o N. AG, per un importo pari a € 200.000, con causale: “saldo rata scadenza 30/06/2013”» (atto 1, pag. 2 e seg., incarto MP-TI). I susseguenti complementi rogatoriali hanno permesso di ulteriormente specificare i termini della vicenda, la quale ha coinvolto svariate relazioni bancarie in Svizzera riconducibili a persone fisiche e giuridiche toccate dall’inchiesta estera (v. atti 3, 17, 27, 48 e 52 incarto MP-TI). Fra queste, oltre al già citato B., vi è il ricorrente, amministratore delegato della società O. S.r.l. nonché membro del consiglio di amministrazione di D. S.p.A.</w:t>
      </w:r>
    </w:p>
    <w:p>
      <w:r>
        <w:t>Quanto precede soddisfa le esigenze normative e giurisprudenziali poste in ma- teria di esposto dei fatti. Sufficientemente chiaro nonché privo di particolari la- cune o contraddizioni risulta essere in ogni caso il motivo che ha indotto</w:t>
      </w:r>
    </w:p>
    <w:p>
      <w:r>
        <w:t>l’autorità rogante a chiedere di ottenere la documentazione litigiosa, legato alle operazioni sopra descritte e ai ruoli degli indagati nelle società direttamente coinvolte. Per il resto, non spetta al giudice dell'assistenza approfondire ulte- riormente la fattispecie oggetto d'inchiesta, tantomeno ottenere le prove dei contestati reati. Sarà proprio la documentazione litigiosa a permettere all'auto- rità estera di progredire nella sua attività investigativa e di acclarare ulterior- mente le condotte mosse a carico dei soggetti indagati. Le censure in questo ambito vanno dunque respinte.</w:t>
      </w:r>
    </w:p>
    <w:p>
      <w:r>
        <w:rPr>
          <w:b/>
        </w:rPr>
        <w:t>E. 5</w:t>
      </w:r>
    </w:p>
    <w:p>
      <w:r>
        <w:t>L’insorgente afferma che la decisione impugnata violerebbe il principio della proporzionalità nonché il divieto della fishing expedition, nella misura in cui l’au- torità d’esecuzione non avrebbe proceduto a una cernita della documentazione litigiosa, in parte peraltro già in possesso dell’autorità rogante e in ogni caso non sufficientemente specificata. A suo avviso, occorrerebbe comunque pre- servare la riservatezza dei nominativi di persone o società che nulla avrebbero a che vedere con la fattispecie oggetto d’indagine. Per cui, nella denegata ipo- tesi in cui la domanda di assistenza dovesse essere ritenuta ricevibile, bisogne- rebbe procedere con l’oscuramento di tutte le transazioni e dei nominativi asso- lutamente non interessati dalle indagini estere, e in concreto, “all’estromissione e/o omissione di tutti i nominativi, dati e operazioni che non concernono A. e meglio società di cui egli era membro del CdA” (act. 1, pag. 22).</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w:t>
      </w:r>
    </w:p>
    <w:p>
      <w:r>
        <w:t>regola dell'integralità della relativa documentazione, in modo tale da identificare tutte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 Tribunale penale federale RR.2019.257 del 12 febbraio 2020 consid. 2.1). Lo Stato richiedente dovrebbe in linea di principio essere informato di tutte le tran- sazioni effettuate attraverso i conti utilizzati dalle soggettività in questione e che possano far parte del meccanismo delittuoso messo in atto (v. sentenza del Tribunale penale federale RR.2014.4 del 30 luglio 2014 consid. 2.2.2). Natural- mente è anche possibile che i conti in questione non siano stati utilizzati per ricevere proventi di reati o per effettuare trasferimenti illeciti, ma l’autorità richie- dente ha comunque interesse a poterlo verificare essa stessa, sulla base di una documentazione completa, tenendo presente che l’assistenza reciproca è fina- lizzata non solo alla raccolta di prove incriminanti ma anche a discarico (sen- tenza del Tribunale federale 1A.88/2006 del 22 giugno 2006 consid. 5.3; sen- tenza del Tribunale penale federale RR.2007.29 del 30 maggio 2007 consid. 4.2). La trasmissione dell'intera documentazione potrà evitare altresì che le au- 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 tion, la quale è definita dalla giurisprudenza una ricerca generale e indetermi- 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w:t>
      </w:r>
    </w:p>
    <w:p>
      <w:r>
        <w:t>delle prove (DTF 113 Ib 257 consid. 5c; sentenza del Tribunale penale federale RR.2017.21 dell’8 maggio 2017 consid. 3.1).</w:t>
      </w:r>
    </w:p>
    <w:p>
      <w:r>
        <w:rPr>
          <w:b/>
        </w:rPr>
        <w:t>E. 5.2</w:t>
      </w:r>
    </w:p>
    <w:p>
      <w:r>
        <w:t>Nella fattispecie, l'utilità potenziale della documentazione litigiosa è certamente data. Il ricorrente, indagato nel procedimento estero, è membro del consiglio di amministrazione di D. S.p.A. nonché amministratore delegato di O. S.r.l., so- cietà direttamente coinvolte nell’inchiesta italiana. Vista la natura dei reati con- testati, la relazione bancaria del ricorrente può essere senz’altro d’interesse per le autorità di perseguimento penale, al fine di verificare se la stessa è stata utilizzata nell’attività distrattiva a danno di D. S.p.A e in eventuali atti di riciclag- gio di denaro. Le autorità estere devono poter accedere a tutta la documenta- zione riguardante il conto del ricorrente, al fine di ricostruire i flussi che lo hanno toccato e che possono essere utili per chiarire i fatti oggetto d’indagine in Italia. Alla luce di ciò, che le autorità italiane possano essere già in possesso di certi atti poco importa. Del resto, l'interesse alla “privacy” delle persone toccate dalla misura chiaramente non può prevalere, nelle descritte circostanze, sulle neces- sità di indagine e sull'obbligo della Svizzera di accordare l'assistenza più ampia possibile (art. 1 cpv. 1 CEAG; art. 8 CRic;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(v. sentenza del Tribunale penale federale RR.2022.112 del 1 settembre 2022 consid. 4.2).</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6</w:t>
      </w:r>
    </w:p>
    <w:p>
      <w:r>
        <w:t>In conclusione, nella misura della sua ammissibilità, il ricorso va integralmente respinto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tenuto conto dell’accertata violazione del diritto di essere sentito (v. supra consid. 2.2), a fr. 4'000.–, a carico del ricorrente. Essa è coperta dall'anticipo</w:t>
      </w:r>
    </w:p>
    <w:p>
      <w:r>
        <w:t>delle spese di fr. 5'000.– già versato. La Cassa del Tribunale restituirà al ricor- rente il saldo di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