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RR.2022.189 vom 18. August 2023</w:t>
      </w:r>
    </w:p>
    <w:p>
      <w:r>
        <w:t>Bundesstrafgericht, 2023-08-18, DE</w:t>
      </w:r>
    </w:p>
    <w:p>
      <w:r>
        <w:rPr>
          <w:b/>
        </w:rPr>
        <w:t xml:space="preserve">Quelle: </w:t>
      </w:r>
      <w:r>
        <w:t>https://mcp.opencaselaw.ch/entscheid/bstger_RR.2022.189</w:t>
      </w:r>
    </w:p>
    <w:p>
      <w:r>
        <w:t>FR: TPF RR.2022.189 du 18 août 2023</w:t>
      </w:r>
    </w:p>
    <w:p>
      <w:r>
        <w:t>IT: TPF RR.2022.189 del 18 agosto 2023</w:t>
      </w:r>
    </w:p>
    <w:p>
      <w:pPr>
        <w:pStyle w:val="Heading2"/>
      </w:pPr>
      <w:r>
        <w:t>Regeste</w:t>
      </w:r>
    </w:p>
    <w:p>
      <w:r>
        <w:t>Internationale Rechtshilfe in Strafsachen an Frankreich; Herausgabe von Beweismitteln (Art. 74 IRSG)</w:t>
      </w:r>
    </w:p>
    <w:p>
      <w:pPr>
        <w:pStyle w:val="Heading2"/>
      </w:pPr>
      <w:r>
        <w:t>Erwägungen</w:t>
      </w:r>
    </w:p>
    <w:p>
      <w:r>
        <w:rPr>
          <w:b/>
        </w:rPr>
        <w:t>E. 1.1</w:t>
      </w:r>
    </w:p>
    <w:p>
      <w:r>
        <w:t>Für die Rechtshilfe zwischen Frankreich und der Schweiz sind primär fol- gende Rechtsgrundlagen massgebend: das Europäische Übereinkommen vom 20. April 1959 über die Rechtshilfe in Strafsachen (EUeR; SR 0.351.1), das hierzu ergangene zweite Zusatzprotokoll vom 8. November 2001 (ZP II EUeR; SR 0.351.12), der Vertrag vom 28. Oktober 1996 zwischen dem Schweizerischen Bundesrat und der Regierung der Französischen Republik zur Ergänzung des EUeR (SR 0.351.934.92) und die Bestimmungen der Art. 48 ff. des Übereinkommens vom 19. Juni 1990 zur Durchführung des Übereinkommens von Schengen vom 14. Juni 1985 (Schengener Durchfüh- rungsübereinkommen [SDÜ]; CELEX-Nr. 42000A0922(02); Abl. L 239 vom 22. September 2000, S. 19–62; Text nicht publiziert in der SR, jedoch abruf- bar auf der Website der Schweizerischen Eidgenossenschaft unter «Rechts- sammlung zu den sektoriellen Abkommen», 8.1 Anhang A; https://www.fed- lex.admin.ch/de/sector-specific-agreements/EU-acts-register/8).</w:t>
      </w:r>
    </w:p>
    <w:p>
      <w:r>
        <w:t>- 4 -</w:t>
      </w:r>
    </w:p>
    <w:p>
      <w:r>
        <w:rPr>
          <w:b/>
        </w:rPr>
        <w:t>E. 1.2</w:t>
      </w:r>
    </w:p>
    <w:p>
      <w:r>
        <w:t>Soweit diese Staatsverträge bestimmte Fragen nicht abschliessend regeln, ist das schweizerische Landesrecht anwendbar, namentlich das Bundesge- setz vom 20. März 1981 (Rechtshilfegesetz, IRSG; SR 351.1) und die Ver- ordnung vom 24. Februar 1982 über internationale Rechtshilfe in Strafsa- chen (Rechtshilfeverordnung, IRSV; SR 351.11; vgl. Art. 1 Abs. 1 lit. b IRSG). Dasselbe gilt nach dem «Günstigkeitsprinzip», wenn das schweizerische Landesrecht geringere Anforderungen an die Rechtshilfe stellt (BGE 148 IV 314 E. 2.1; 147 II 432 E. 3.1). Vorbehalten bleibt die Wahrung der Menschen- rechte (BGE 145 IV 294 E. 2.1; 135 IV 212 E. 2.3; 123 II 595 E. 7c).</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(Art. 12 Abs. 1 IRSG).</w:t>
      </w:r>
    </w:p>
    <w:p>
      <w:r>
        <w:rPr>
          <w:b/>
        </w:rPr>
        <w:t>E. 2.1</w:t>
      </w:r>
    </w:p>
    <w:p>
      <w:r>
        <w:t>Die Verfügung der ausführenden Behörde, mit der das Rechtshilfeverfahren abgeschlossen wird, unterliegt zusammen mit den vorangehenden Zwi- schenverfügungen der Beschwerde an die Beschwerdekammer des Bun- desstrafgerichts (Art. 80e Abs. 1 IRSG). Die Beschwerdefrist beträgt 30 Tage (Art. 80k IRSG).</w:t>
      </w:r>
    </w:p>
    <w:p>
      <w:r>
        <w:t>Die vorliegend angefochtene Schlussverfügung stellt ein zulässiges Anfech- tungsobjekt dar. Die Beschwerdekammer ist für die Behandlung der Be- schwerde zuständig. Die Beschwerde wurde frist- und formgerecht erhoben.</w:t>
      </w:r>
    </w:p>
    <w:p>
      <w:r>
        <w:rPr>
          <w:b/>
        </w:rPr>
        <w:t>E. 2.2.1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 trifft und sie ein schutzwürdiges Interesse an deren Aufhebung oder Ände- rung haben (Art. 21 Abs. 3 IRSG). Diese Bestimmung übernahm für den Bereich der internationalen Rechtshilfe in Strafsachen sinngemäss die frühere Regelung der Verwaltungsgerichts- beschwerde an das Bundesgericht (Art. 103 lit. a OG; BGE 126 II 258 E. 2d S. 259). Danach war zur Beschwerde berechtigt, wer durch die angefochtene Verfügung berührt war und ein schutzwürdiges Interesse an deren</w:t>
      </w:r>
    </w:p>
    <w:p>
      <w:r>
        <w:t>- 5 -</w:t>
      </w:r>
    </w:p>
    <w:p>
      <w:r>
        <w:t>Aufhebung oder Änderung hatte. Die beiden Kriterien mussten nicht kumu- lativ vorliegen, da sie im Wesentlichen das Gleiche verlangten und letztlich ineinander aufgingen (BGE 133 V 188 E. 4.3.1 S. 192 mit Hinweisen; zum Ganzen BGE 137 IV 134 E. 5.1.1). Erforderlich ist eine vom einschlägigen Bundesrecht erfasste «spezifische Beziehungsnähe» des Rechtsuchenden zur angefochtenen Schlussverfügung. Eine blosse mittelbare Betroffenheit genügt hingegen nicht (BGE 137 IV 134 E. 5.2.1; 129 II 268 E. 2.3.3 S. 269; 128 II 211 E. 2.2 S. 216 f.; 127 II 104 E. 3 S. 107 ff.; 198 E. 2d S. 205; 126 II 258 E. 2d S. 259; 125 II 356 E. 3b/aa S. 361 f.; 123 II 153 E. 2b S. 156).</w:t>
      </w:r>
    </w:p>
    <w:p>
      <w:r>
        <w:rPr>
          <w:b/>
        </w:rPr>
        <w:t>E. 2.2.2</w:t>
      </w:r>
    </w:p>
    <w:p>
      <w:r>
        <w:t>Das Bundesgericht hat den Begriff des schutzwürdigen Interesses in seiner Rechtsprechung allgemein näher umschrieben. Diese Rechtsprechung stammt aus der Praxis zu aArt. 48 lit. a VwVG (vgl. BGE 121 II 176 E. 2a; der heutige Art. 48 Abs. 1 VwVG enthält das Kriterium in lit. c) resp. aus der Praxis zur Verwaltungsgerichtsbeschwerde. Der Beschwerdeführer muss eine genügend enge Beziehung zum Streitgegenstand haben (BGE 123 II 161 E. 1d/aa S. 164). Das Interesse kann rechtlicher oder tatsächlicher Na- tur sein (während Art. 382 Abs. 1 StPO für das dortige Rechtsmittel der Par- teien ein rechtlich geschütztes Interesse verlangt). Es muss nicht notwendi- gerweise von der im Beschwerdeverfahren angerufenen Norm geschützt sein. Hingegen muss ein Beschwerdeführer mehr als andere und mehr als die Allgemeinheit in einem wichtigen Interesse betroffen sein, das aus seiner Beziehung zum Beschwerdegegenstand resultiert. Ein schutzwürdiges Inte- resse besteht dann, wenn die rechtliche oder tatsächliche Situation des Be- schwerdeführers vom Ausgang der Sache abhängt. Eine Gutheissung der Beschwerde muss ihm einen Vorteil wirtschaftlicher, materieller oder ideeller Natur verschaffen. Eine Popularbeschwerde, allein im Interesse des Rechts oder Dritter, ist demgegenüber ausgeschlossen (BGE 126 II 258 E. 2d S. 259 f.; 125 II 356 E. 3b/aa S. 361 f.; vgl. auch ZIMMERMANN, La coopéra- tion judiciaire internationale en matière pénale, 5. Aufl. 2019, N. 524; TPF 2020 180 E. 4.5.1).</w:t>
      </w:r>
    </w:p>
    <w:p>
      <w:r>
        <w:rPr>
          <w:b/>
        </w:rPr>
        <w:t>E. 2.2.3</w:t>
      </w:r>
    </w:p>
    <w:p>
      <w:r>
        <w:t>Es geht vorliegend um die Herausgabe von Steuerunterlagen der Beschwer- deführerin. Die Steuerunterlagen umfassen neben den Steuererklärungen insbesondere auch Bankkonto- und Depotauszüge. Die StA BL hat sämtli- che Unterlagen, im Rechtshilfeverfahren, von der kantonalen Steuerverwal- tung erhoben. Es liegt insoweit keine die Beschwerdeführerin oder Dritte be- treffende Zwangsmassnahme vor. Jedoch stehen ihre Steuerunterlagen un- ter dem Schutz des Steuergeheimnisses (vgl. § 11 Abs. 1 des Gesetzes des Kantons Basel-Landschaft vom 7. Februar 1974 über die Staats- und Ge- meindesteuern, SGS 331; Art. 110 DBG; Art. 39 Abs. 1 StHG). Die Heraus- gabe betrifft die Beschwerdeführerin damit mehr als die Allgemeinheit in</w:t>
      </w:r>
    </w:p>
    <w:p>
      <w:r>
        <w:t>- 6 -</w:t>
      </w:r>
    </w:p>
    <w:p>
      <w:r>
        <w:t>einem wichtigen Interesse. Es ist keine andere Person ersichtlich, die von der Herausgabe stärker betroffen wäre (vgl. TPF 2020 180 E. 4.4.1, 2. Ab- satz). Damit ist die Beschwerdeführerin zur Beschwerde legitimiert.</w:t>
      </w:r>
    </w:p>
    <w:p>
      <w:r>
        <w:rPr>
          <w:b/>
        </w:rPr>
        <w:t>E. 2.3</w:t>
      </w:r>
    </w:p>
    <w:p>
      <w:r>
        <w:t>Auf die Beschwerde ist somit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w:t>
      </w:r>
    </w:p>
    <w:p>
      <w:r>
        <w:rPr>
          <w:b/>
        </w:rPr>
        <w:t>E. 4.1</w:t>
      </w:r>
    </w:p>
    <w:p>
      <w:r>
        <w:t>Die Beschwerdeführerin rügt eine Verletzung ihres Anspruchs auf rechtli- ches Gehör nach Art. 29 Abs. 2 BV im Verfahren vor der StA BL. Sie habe in ihrer Eingabe vom 4. Oktober 2021 diverse Einwendungen gegen die Rechtshilfe vorgebracht, auf welche die StA BL in ihrer Schlussverfügung vom 2. September 2022 in keiner Weise eingegangen sei (act. 1 S. 4; act. 15 S. 3 Ziff. 4).</w:t>
      </w:r>
    </w:p>
    <w:p>
      <w:r>
        <w:rPr>
          <w:b/>
        </w:rPr>
        <w:t>E. 4.2</w:t>
      </w:r>
    </w:p>
    <w:p>
      <w:r>
        <w:t>Die Eintretensverfügung vom 2. Februar 2021 beurteilt den Sachverhalt des Rechtshilfeersuchens und hält namentlich fest, dass er den Erfordernissen entspreche. Sie gibt sodann wieder, um welche Rechtshilfemassnahmen er- sucht wird und bejaht die beidseitige Strafbarkeit für den Tatbestand des Be- truges. Die Schlussverfügung vom 2. September 2022 legt dar, es liege eine beidseitige Strafbarkeit vor, da die vorgeworfene Tat unter den Schweizer Tatbestand des Betruges (Art. 146 Abs. 1 StGB) subsumiert werden könne. Ausschlussgründe lägen keine vor (S. 2 Ziff. 2). Die StA BL stellt schliesslich fest, dass die herauszugebenden Unterlagen für die ausländische Strafun- tersuchung potenziell erheblich seien (S. 4).</w:t>
      </w:r>
    </w:p>
    <w:p>
      <w:r>
        <w:t>- 7 -</w:t>
      </w:r>
    </w:p>
    <w:p>
      <w:r>
        <w:rPr>
          <w:b/>
        </w:rPr>
        <w:t>E. 4.3</w:t>
      </w:r>
    </w:p>
    <w:p>
      <w:r>
        <w:t>Die aus dem verfassungsmässigen Anspruch auf rechtliches Gehör (Art. 29 Abs. 2 BV) fliessende Verpflichtung der Behörde, ihren Entscheid zu begrün- den, verlangt nicht, dass diese sich mit allen Parteistandpunkten einlässlich auseinandersetzt und jedes einzelne Vorbringen ausdrücklich widerlegt; viel- mehr genügt es, wenn der Entscheid gegebenenfalls sachgerecht angefoch- ten werden kann (BGE 136 I 184 E. 2.2.1; 134 I 83 E. 4.1; 133 III 439 E. 3.3). Die Begründung muss kurz die wesentlichen Überlegungen nennen, von de- nen sich das Gericht oder Behörde hat leiten lassen und auf die sich der Entscheid stützt (BGE 141 III 28 E. 3.2.4; 139 V 496 E. 5.1; 138 I 232 E. 5.1). Die Begründung muss nicht zwingend in der Verfügung selbst enthalten sein. Die Rechtsprechung hat als genügende Begründung auch den Verweis auf separate Schriftstücke, auf frühere Entscheide oder klare Angaben der Ent- scheidgründe in früheren oder späteren Schreiben an die Verfügungsadres- satinnen oder -adressaten anerkannt (BGE 99 Ib 129 E. 2a).</w:t>
      </w:r>
    </w:p>
    <w:p>
      <w:r>
        <w:rPr>
          <w:b/>
        </w:rPr>
        <w:t>E. 4.4</w:t>
      </w:r>
    </w:p>
    <w:p>
      <w:r>
        <w:t>Die Schlussverfügung ist zwar sehr knapp, unter Einbezug der Eintretens- verfügung aber noch zureichend begründet. Sie bejaht die beidseitige Straf- barkeit nach Schweizer Recht gestützt auf den im Rechtshilfeersuchen ge- schilderten Sachverhalt. Die StA BL bejaht auch die potenzielle Erheblichkeit der ersuchten Steuerunterlagen für das ausländische Strafverfahren und ordnet ihre Herausgabe an. Die StA BL verwirft damit auch die Auffassung der Beschwerdeführerin in ihrer Eingabe vom 4. Oktober 2021, wonach es sich um eine ausschliesslich zivilrechtliche Angelegenheit handle, für die keine Rechtshilfe in Strafsachen zulässig sei. Mit den in der Eingabe auch enthaltenen Darlegungen zur zivilrechtlichen Situation musste sich die StA BL im Rechtshilfeverfahren nicht näher auseinandersetzen, da sie für dessen Ausgang nicht ausschlaggebend sind. Sie hat bejaht, dass der ge- schilderte Sachverhalt die Leistung von Rechtshilfe erlaube. Eine Gehörs- verletzung in Form einer mangelnden Begründung ist damit nicht auszu- machen.</w:t>
      </w:r>
    </w:p>
    <w:p>
      <w:r>
        <w:rPr>
          <w:b/>
        </w:rPr>
        <w:t>E. 5.1</w:t>
      </w:r>
    </w:p>
    <w:p>
      <w:r>
        <w:t>Der Sachverhalt des Rechtshilfeersuchens gibt zunächst den Inhalt der Strafanzeige wieder, die B. gegen A. am 18. April 2018 bei der Staatsanwalt- schaft Belfort wegen Irreführung des Gerichts eingereicht habe. Der Anzeige zufolge heirateten B. und A. am 21. Dezember 1991 im ehelichen Güter- stand der Gütertrennung. Aus der Ehe seien zwei Kinder hervorgegangen. Nach Meinungsverschiedenheiten habe B. am 13. April 2010 vor dem Fami- liengericht Belfort ein Scheidungsverfahren eingeleitet. Am 13. Dezember 2010 sei in einem Nichtversöhnungsbeschluss entschieden worden, dass B. zu Unterhalt und Erziehung der beiden Kinder einen Beitrag von monatlich</w:t>
      </w:r>
    </w:p>
    <w:p>
      <w:r>
        <w:t>- 8 -</w:t>
      </w:r>
    </w:p>
    <w:p>
      <w:r>
        <w:t>EUR 2'000.– an A. leisten müsse und dass A. die Wohnung der Familie kos- tenlos nutzen könne. Am 4. November 2011 habe A. beantragt, dass die Scheidung wegen des alleinigen Verschuldens von B. ausgesprochen werde. Im Verlauf dieses Verfahrens habe sie dem Gericht mehrfach Angaben über ihre Einkommens- verhältnisse gemacht. Der mit der Vorbereitung der mündlichen Verhandlung befasste Richter habe die vorläufigen, im Nichtversöhnungsbeschluss ge- troffenen Massnahmen bestätigt. B. habe erklärt, dass sich seine wirtschaft- liche Lage im Verlauf des Verfahrens zur Hauptsache auf Grund zweier auf- einander erfolgten Entlassungen verschlechtert habe, sodass er eine Aus- gleichszahlung zu seinen Gunsten in Form einer Kapitalabfindung von EUR 500'000.– beantragt habe, ersatzweise, dass A. auf ihr Miteigentum an der ehemaligen gemeinschaftlichen Familienwohnung in Höhe von EUR 500'000.– verzichte. A. habe ihrerseits von B. einen Beitrag zum Unter- halt und der Erziehung der beiden Kinder von monatlich EUR 2'000.– bean- tragt. B. habe in der Strafanzeige angegeben, dass A. eine auf den 31. Mai 2017 datierte eidesstattliche Erklärung über ihr Vermögen vorgelegt hätte, wonach sie über ein Vermögen von EUR 3.86 Mio. verfügen würde.</w:t>
      </w:r>
    </w:p>
    <w:p>
      <w:r>
        <w:rPr>
          <w:b/>
        </w:rPr>
        <w:t>E. 5.2</w:t>
      </w:r>
    </w:p>
    <w:p>
      <w:r>
        <w:t>Am 28. September 2017 habe der Familienrichter ein Urteil verkündet, dem- zufolge B. an A. einen Beitrag zum Unterhalt und der Erziehung der Kinder von monatlichen EUR 2'000.– bezahlen müsse. Auch habe der Richter den Antrag von B. auf eine Ausgleichszahlung abgewiesen. B. habe daraufhin Anzeige gegen A. erstattet, da sie nach seiner Einschätzung falsche Anga- ben gemacht habe, was zu einer Unterbewertung ihrer Einkünfte und ihres Vermögens geführt habe. Am 31. Mai 2017 habe die Staatsanwaltschaft Bel- fort ein Ermittlungsverfahren gegen Unbekannt wegen Betrugs eröffnet. Am</w:t>
      </w:r>
    </w:p>
    <w:p>
      <w:r>
        <w:rPr>
          <w:b/>
        </w:rPr>
        <w:t>E. 5.3</w:t>
      </w:r>
    </w:p>
    <w:p>
      <w:r>
        <w:t>Im Jahr 2019 habe das Polizeikommissariat Belfort in Zusammenarbeit mit der Domänenverwaltung festgestellt, dass A. den Wert ihres gesamten Ver- mögens zu niedrig eingeschätzt habe. A. habe den Wert ihres gesamten Im- mobilienvermögens mit EUR 1'741'819.– angegeben, tatsächlich sei dieser im Jahr 2019 aber auf EUR 2'865'200.– geschätzt worden.</w:t>
      </w:r>
    </w:p>
    <w:p>
      <w:r>
        <w:t>6.</w:t>
      </w:r>
    </w:p>
    <w:p>
      <w:r>
        <w:t>6.1 Die Beschwerdeführerin bringt vor, es könne nicht ausgeschlossen werden, dass der dem Rechtshilfeersuchen zugrunde liegende Sachverhalt auf von B. manipulierten Auskünften basiere. Ohnehin sei die Schilderung des Sach- verhalts im Rechtshilfeersuchen nicht genügend begründet und daher auch nicht nachvollziehbar (act. 1, S. 4 ff.; act. 15, S. 2 f.).</w:t>
      </w:r>
    </w:p>
    <w:p>
      <w:r>
        <w:t>6.2 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(BGE 117 Ib 88 E. 5c). Die ersuchte Behörde hat sich beim Entscheid über ein Rechtshilfebegehren nicht dazu auszusprechen, ob die darin ange- führten Tatsachen zutreffen oder nicht. Sie hat somit weder Tat- noch Schuldfragen zu prüfen und grundsätzlich auch keine Beweiswürdigung vor- zunehmen. Sie ist vielmehr an die Darstellung des Sachverhaltes im Ersu- chen und dessen allfälligen Ergänzungen gebunden, soweit diese nicht durch offensichtliche Fehler, Lücken oder Widersprüche sofort entkräftet wird (BGE 139 II 451 E. 2.2.1; 136 IV 4 E. 4.1; 133 IV 76 E 2.2; TPF 2011 194 E. 2.1). Einwände, die sich auf die Richtigkeit der Darstellung beziehen, Ge- genbehauptungen, Beweiseingaben oder -offerten, die nur das ausländische Sachurteil betreffen, sind vom Rechtshilfegericht nicht zu hören (BGE 132 II 81 E. 2.1).</w:t>
      </w:r>
    </w:p>
    <w:p>
      <w:r>
        <w:t>6.3 Die französische Strafbehörde untersucht ein Delikt des allgemeinen Straf- rechts, wofür sie um Rechtshilfe ersucht. Der Schilderung des Sachverhalts muss kein Beweisdossier beigelegt werden. Aufgrund des zwischenstaatli- chen Vertrauensprinzips (BGE 146 II 150 E. 7.1) ist von der Richtigkeit des</w:t>
      </w:r>
    </w:p>
    <w:p>
      <w:r>
        <w:t>- 10 -</w:t>
      </w:r>
    </w:p>
    <w:p>
      <w:r>
        <w:t>geschilderten Sachverhalts auszugehen. Die obige Schilderung (vgl. Erwä- gung 5) ist nachvollziehbar und enthält keine offensichtlichen Fehler, Lücken oder Widersprüche. Er schildert prima facie Handlungen, die in der Schweiz strafbar sind als Betrug (Art. 146 Abs. 1 StGB), Falschbeurkundung (Art. 251 Ziff. 1 StGB) oder als Falsche Beweisaussage der Partei (Art. 306 Abs. 1 StGB; siehe aber Erwägung 6.4 unten).</w:t>
      </w:r>
    </w:p>
    <w:p>
      <w:r>
        <w:t>Daran ändert auch nichts, dass strafbare Handlungen untersucht werden, die in einem gerichtlichen Scheidungsverfahren begangen und vom Ex- Mann der Beschwerdeführerin angezeigt worden sind. Auch die Sichtweise der Beschwerdeführerin zu den massgeblichen formellen und materiellen Fragen im französischen Scheidungsverfahren, wie kurz vorgebracht in ihrer Eingabe vom 4. Oktober 2021 an die StA BL, können die Sachverhaltsschil- derung nicht entkräften. Ebenso wenig, wenn sie pauschal vorbringt (act. 1 S. 4 Ziff. 8), ein strafrechtlich relevantes Handeln von ihr könne in keiner Weise angenommen werden, jedoch habe sich ihr Ex-Mann strafbar ge- macht.</w:t>
      </w:r>
    </w:p>
    <w:p>
      <w:r>
        <w:t>6.4 Zur beidseitigen Strafbarkeit nach Schweizer Recht bringt die Beschwerde- führerin weder in der Beschwerde noch in der Replik Rügen vor. Dies ist insofern folgerichtig, als vorliegend keine Zwangsmassnahme angeordnet wurde: Die Staatsanwaltschaft erhob die Unterlagen rechtshilfeweise bei den Steuerbehörden, welche über die Herausgabe an sie entschieden (vgl. auch E. 2.2.3 oben). Ohne Zwangsmassnahme ist eine Strafbarkeit nach Schwei- zer Recht auch nicht Voraussetzung für die Herausgabe der Unterlagen (vgl. Art. 64 Abs. 1 i.V.m. Art. 63 Abs. 2 lit. c IRSG).</w:t>
      </w:r>
    </w:p>
    <w:p>
      <w:r>
        <w:t>6.5 Insgesamt sind die Rügen der Beschwerdeführerin unbegründet. Weitere Rechtshilfehindernisse sind nicht ersichtlich. Die Beschwerde ist daher ab- zuweisen.</w:t>
      </w:r>
    </w:p>
    <w:p>
      <w:r>
        <w:t>7. Die drei Verfahrensanträge der Beschwerdeführerin sind gegenstandslos: Der Beschwerde kommt schon von Gesetzes wegen aufschiebende Wirkung zu (Art. 80l Abs. 1 IRSG), die Beschwerdeführerin konnte eine Replik einrei- chen und das Gericht zog die Akten der Vorinstanz bei.</w:t>
      </w:r>
    </w:p>
    <w:p>
      <w:r>
        <w:rPr>
          <w:b/>
        </w:rPr>
        <w:t>E. 8</w:t>
      </w:r>
    </w:p>
    <w:p>
      <w:r>
        <w:t>Bei diesem Ausgang des Verfahrens wird die Beschwerdeführerin kosten- pflichtig (vgl. Art. 63 Abs. 1 VwVG i.V.m. Art. 39 Abs. 2 lit. b StBOG). Für die Berechnung der Gerichtsgebühren gelangt das Reglement des Bundesstraf- gerichts vom 31. August 2010 über die Kosten, Gebühren und</w:t>
      </w:r>
    </w:p>
    <w:p>
      <w:r>
        <w:t>- 11 -</w:t>
      </w:r>
    </w:p>
    <w:p>
      <w:r>
        <w:t>Entschädigungen in Bundesstrafverfahren (BStKR; SR 173.713.162) zur An- wendung (Art. 53 Abs. 2 lit. a, Art. 73 StBOG i.V.m. Art. 65 Abs. 5 VwVG sowie Art. 22 Abs. 3 BStKR). Die Gerichtsgebühr ist vorliegend auf Fr. 5'000.– festzusetzen (vgl. Art. 63 Abs. 5 VwVG i.V.m. Art. 73 StBOG so- wie Art. 5 und 8 Abs. 3 lit. a BStKR) und der Beschwerdeführerin aufzuerle- gen, unter Anrechnung des geleisteten Kostenvorschuss in der Höhe von Fr. 5'000.– (act. 3 und 6).</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