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RR.2022.186 vom 5. April 2023</w:t>
      </w:r>
    </w:p>
    <w:p>
      <w:r>
        <w:t>Bundesstrafgericht, 2023-04-05, FR</w:t>
      </w:r>
    </w:p>
    <w:p>
      <w:r>
        <w:rPr>
          <w:b/>
        </w:rPr>
        <w:t xml:space="preserve">Quelle: </w:t>
      </w:r>
      <w:r>
        <w:t>https://mcp.opencaselaw.ch/entscheid/bstger_RR.2022.186</w:t>
      </w:r>
    </w:p>
    <w:p>
      <w:r>
        <w:t>FR: TPF RR.2022.186 du 5 avril 2023</w:t>
      </w:r>
    </w:p>
    <w:p>
      <w:r>
        <w:t>IT: TPF RR.2022.186 del 5 aprile 2023</w:t>
      </w:r>
    </w:p>
    <w:p>
      <w:pPr>
        <w:pStyle w:val="Heading2"/>
      </w:pPr>
      <w:r>
        <w:t>Regeste</w:t>
      </w:r>
    </w:p>
    <w:p>
      <w:r>
        <w:t>Entraide judiciaire internationale en matière pénale au Luxembourg; remise de moyens de preuve (art. 74 EIMP)</w:t>
      </w:r>
    </w:p>
    <w:p>
      <w:pPr>
        <w:pStyle w:val="Heading2"/>
      </w:pPr>
      <w:r>
        <w:t>Erwägungen</w:t>
      </w:r>
    </w:p>
    <w:p>
      <w:r>
        <w:rPr>
          <w:b/>
        </w:rPr>
        <w:t>E. 1.1</w:t>
      </w:r>
    </w:p>
    <w:p>
      <w:r>
        <w:t>L'entraide judiciaire entre le Luxembourg et la Confédération suisse est prioritairement régie par la Convention européenne d'entraide judiciaire en matière pénale (CEEJ; RS 0.351.1), entrée en vigueur pour la Suisse le 20 mars 1967 et pour le Luxembourg le 16 février 1977, et par le Deuxième Protocole additionnel à ladite Convention, entré en vigueur pour la Suisse le 1er février 2005 et pour l’Etat requérant le 1er février 2022 (RS 0.351.12). Les art. 48 ss de la Convention d'application de l'Accord de</w:t>
      </w:r>
    </w:p>
    <w:p>
      <w:r>
        <w:t>- 4 -</w:t>
      </w:r>
    </w:p>
    <w:p>
      <w:r>
        <w:t>Schengen du 14 juin 1985 (CAAS; n. CELEX 42000A0922[02]; Journal officiel de l'Union européenne L 239 du 22 septembre 2000, p. 19-62) s'appliquent également à l'entraide pénale entre la Suisse et le Luxembourg. Peuvent également s'appliquer, en l'occurrence, la Convention européenne relative au blanchiment, au dépistage, à la saisie et à la confiscation des produits du crime (CBl; RS 0.311.53), entrée en vigueur pour la Suisse le 1er septembre 1993 et pour le Luxembourg le 1er janvier 2002, et la Convention des Nations Unies contre la corruption du 31 octobre 2003 (UNCAC; RS 0.311.56), entrée en vigueur pour la Suisse le 24 octobre 2009 et pour le Luxembourg le 6 décembre 2007,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dont le MPC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28 septembre 2022, contre une décision notifiée le 29 août 2022,</w:t>
      </w:r>
    </w:p>
    <w:p>
      <w:r>
        <w:t>- 5 -</w:t>
      </w:r>
    </w:p>
    <w:p>
      <w:r>
        <w:t>le recours a été déposé en temps utile (art. 80k EIMP).</w:t>
      </w:r>
    </w:p>
    <w:p>
      <w:r>
        <w:rPr>
          <w:b/>
        </w:rPr>
        <w:t>E. 1.6</w:t>
      </w:r>
    </w:p>
    <w:p>
      <w:r>
        <w:t>Le recours est recevable et il y a lieu d’entrer en matière.</w:t>
      </w:r>
    </w:p>
    <w:p>
      <w:r>
        <w:rPr>
          <w:b/>
        </w:rPr>
        <w:t>E. 2</w:t>
      </w:r>
    </w:p>
    <w:p>
      <w:r>
        <w:t>La recourante invoque une violation du principe de la proportionnalité. De son point de vue, seule la transmission de l’avis de crédit pour le transfert du 8 juin 2012 à hauteur d’EUR 300'000.-- en faveur du compte de B. auprès de la banque G. se justifierait, information au demeurant déjà connue de l’Etat requérant. Cela aurait dû conduire le MPC, qui a admis ce seul lien avec les faits sous enquête au Luxembourg dans son prononcé entrepris, à refuser l’entraide, voire à limiter le périmètre de la transmission envisagée aux documents en lien avec cette transaction (act. 1, p. 4 et s.).</w:t>
      </w:r>
    </w:p>
    <w:p>
      <w:r>
        <w:rPr>
          <w:b/>
        </w:rPr>
        <w:t>E. 2.1.1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w:t>
      </w:r>
    </w:p>
    <w:p>
      <w:r>
        <w:t>- 6 -</w:t>
      </w:r>
    </w:p>
    <w:p>
      <w:r>
        <w:t>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et s.).</w:t>
      </w:r>
    </w:p>
    <w:p>
      <w:r>
        <w:rPr>
          <w:b/>
        </w:rPr>
        <w:t>E. 2.1.2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2.2</w:t>
      </w:r>
    </w:p>
    <w:p>
      <w:r>
        <w:t>En l’espèce, l’entraide requise consiste en l’obtention de la documentation bancaire relative à la relation ouverte au nom de la recourante près la banque F., dont B. est ayant droit économique, en vue de permettre à l’Etat requérant de reconstituer le cheminement des fonds potentiellement issus et/ou constitutifs de l’infraction de blanchiment d’argent et de déterminer s’ils ont été versés sur des comptes bancaires au Luxembourg dont le prénommé et/ou ses proches seraient ayants droit économiques. Partant, il existe un</w:t>
      </w:r>
    </w:p>
    <w:p>
      <w:r>
        <w:t>- 7 -</w:t>
      </w:r>
    </w:p>
    <w:p>
      <w:r>
        <w:t>lien de connexité suffisant entre les informations à transmettre et l’état de faits de la procédure dans l’Etat requérant pour admettre la transmission de la documentation bancaire relative à la relation ouverte au nom de la recourante, telle que répertoriée dans le dispositif du prononcé entrepris. Le devoir d’exhaustivité incombant à l’autorité d’exécution lui impose de transmettre tous les renseignements concernant de près ou de loin les infractions poursuivies, surtout dans des affaires aux contours complexes, comme la présente.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2.1.2). En d’autres termes, l’Etat requérant doit pouvoir vérifier, par lui-même, l’utilité ou le défaut d’utilité des informations pour sa procédure. Le grief est infondé.</w:t>
      </w:r>
    </w:p>
    <w:p>
      <w:r>
        <w:rPr>
          <w:b/>
        </w:rPr>
        <w:t>E. 3</w:t>
      </w:r>
    </w:p>
    <w:p>
      <w:r>
        <w:t>En règle générale, les frais de procédure comprenant l'émolument d'arrêt, les émoluments de chancellerie et les débours sont mis à la charge de la partie qui succombe (art. 63 al. 1 PA, applicable par renvoi de l'art. 39 LOAP). En tant que partie qui succombe, la recourante doit supporter les frais du présent arrêt, lesquels sont fixés à CHF 4’000.-- (v. art. 73 al. 2 LOAP, art. 8 al. 3 let. a du règlement du Tribunal pénal fédéral sur les frais, émoluments, dépens, et indemnités de la procédure pénale fédérale [RFPPF; RS 173.713.162] et art. 63 al. 5 PA), montant couvert par l’avance de frais déjà versée. Le solde, par CHF 1'000.--, lui sera restitué par la Caisse du Tribunal pénal fédéral.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