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RR.2022.177 vom 8. März 2023</w:t>
      </w:r>
    </w:p>
    <w:p>
      <w:r>
        <w:t>Bundesstrafgericht, 2023-03-08, IT</w:t>
      </w:r>
    </w:p>
    <w:p>
      <w:r>
        <w:rPr>
          <w:b/>
        </w:rPr>
        <w:t xml:space="preserve">Quelle: </w:t>
      </w:r>
      <w:r>
        <w:t>https://mcp.opencaselaw.ch/entscheid/bstger_RR.2022.177</w:t>
      </w:r>
    </w:p>
    <w:p>
      <w:r>
        <w:t>FR: TPF RR.2022.177 du 8 mars 2023</w:t>
      </w:r>
    </w:p>
    <w:p>
      <w:r>
        <w:t>IT: TPF RR.2022.177 del 8 marzo 2023</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nonché l'art. 46 della Convenzione delle Nazioni Unite contro la corruzione (in</w:t>
      </w:r>
    </w:p>
    <w:p>
      <w:r>
        <w:t>- 4 -</w:t>
      </w:r>
    </w:p>
    <w:p>
      <w:r>
        <w:t>seguito: UNCAC), conclusa il 31 ottobre 2003, entrata in vigore per l'Italia il</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w:t>
      </w:r>
    </w:p>
    <w:p>
      <w:r>
        <w:rPr>
          <w:b/>
        </w:rPr>
        <w:t>E. 1.6.1</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d’informazioni su un conto bancario è considerato personalmente e di- rettamente toccato il titolare del conto (v. art. 9a lett. a OAIMP; DTF 137 IV 134</w:t>
      </w:r>
    </w:p>
    <w:p>
      <w:r>
        <w:t>- 5 -</w:t>
      </w:r>
    </w:p>
    <w:p>
      <w:r>
        <w:t>consid. 5.2 e 5.2.1 e 118 Ib 547 consid. 1d), così come nelle perquisizioni do- miciliari questa qualità spetta al proprietario o al locatario (v. art. 9a lett. b OAIMP). In via giurisprudenziale è stato altresì precisato che la legittimazione a ricorrere compete alla persona direttamente sottoposta a una misura coerci- tiva (perquisizione, sequestro o interrogatorio; DTF 130 II 162 consid. 1.1; 128 II 211 consid. 2.3; 127 II 198 consid. 2d; 126 II 258 consid. 2d; 124 II 180 consid. 1b; TPF 2007 79 consid. 1.6 pag. 82), mentre gli interessati toccati solo in ma- niera indiretta, come ad esempio il mero avente diritto economico di un conto bancario, non possono impugnare tali provvedimenti (DTF 137 IV 134 consid. 5.2.1 e 122 II 130 consid. 2b e rinvii). Per lo stesso motivo, nel caso di docu- menti in possesso di terzi, soltanto questi ultimi in quanto loro possessori pos- sono contestare il sequestro degli stessi, anche se i documenti in questione concernono un’altra persona contro la quale è pendente un procedimento pe- nale estero (DTF 137 IV 134 consid. 5.2.3; 123 II 161 consid. 1d; 116 Ib 106 consid. 2a; TPF 2007 79 consid. 1.6).</w:t>
      </w:r>
    </w:p>
    <w:p>
      <w:r>
        <w:rPr>
          <w:b/>
        </w:rPr>
        <w:t>E. 1.6.2</w:t>
      </w:r>
    </w:p>
    <w:p>
      <w:r>
        <w:t>In concreto, nella misura in cui la perquisizione e il sequestro della documenta- zione cartacea e in formato elettronico oggetto della decisione impugnata hanno avuto luogo presso la sede di C. SA in liquidazione, a Lugano, quest’ultima è legittimata a ricorrere. Ciò non è il caso né per A. né per B. – quest’ultima am- ministratrice unica e liquidatrice della predetta società – non essendo entrambi né locatari né proprietari dei locali della predetta società (in questo ambito v. DTF 137 IV 134 consid. 6.2; sentenze del Tribunale penale federale RR.2016.277 del 7 febbraio 2017 consid. 1.5.2; RR.2015.289-290 del 13 aprile 2016 consid. 2.2.1).</w:t>
      </w:r>
    </w:p>
    <w:p>
      <w:r>
        <w:t>2. La ricorrente censura la violazione del suo diritto di essere sentita, nella misura in cui alcuni files contenuti in una chiavetta USB, destinati all’autorità estera, sono rimasti a lei inaccessibili, nonostante la sua richiesta al MP-TI di potervi accedere, ciò che non le ha permesso quindi di partecipare alla loro cernita.</w:t>
      </w:r>
    </w:p>
    <w:p>
      <w:r>
        <w:t>2.1 Il diritto di essere sentito, ancorato all’art. 29 cpv. 2 Cost., viene concretizzato nell’ambito dell’assistenza giudiziaria internazionale agli art. 29 e segg. PA richiamati dall’art. 12 cpv. 1 AIMP (ZIMMERMANN, La coopération judiciaire inter- nationale ne matière pénale, 5a ediz. 2019, n. 472). Esso è di natura formale (DTF 126 I 19 consid. 2d/bb pag. 24; 125 I 113 consid. 3; ALBERTINI, Der verfassungsmässige Anspruch auf rechtliches Gehör im Verwaltungsverfahren des modernen Staates, 2000, pag. 449 con rinvii). Una violazione di questo di- ritto fondamentale da parte dell’autorità d’esecuzione non comporta comunque automaticamente l’accoglimento del gravame e l’annullamento della decisione impugnata (v. WEISS/CASANOVA, Leichte oder schwere Verletzung des rechtli- chen Gehörs?, in: ZBJV 2020, pag. 27 e segg.). Secondo la giurisprudenza e la dottrina una violazione del diritto di essere sentito può essere sanata, se la</w:t>
      </w:r>
    </w:p>
    <w:p>
      <w:r>
        <w:t>- 6 -</w:t>
      </w:r>
    </w:p>
    <w:p>
      <w:r>
        <w:t>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sentenze del Tribunale federale 1C_525/2008 e 1C_526/2008 del 28 novembre 2008 consid. 1.3 non- ché 1A.54/2004 del 30 aprile 2004; TPF 2008 172 consid. 2.3; TPF 2007 57; ZIMMERMANN, op. cit., n. 472).</w:t>
      </w:r>
    </w:p>
    <w:p>
      <w:r>
        <w:t>Anche in presenza di una violazione grave del diritto di essere sentito, il Tribu- nale federale ha già ritenuto ammissibile prescindere da un rinvio all'autorità inferiore allorquando questo costituirebbe una mera formalità, provocando un ritardo inutile nella procedura, incompatibile con l'interesse della parte interes- sata ad un'evasione celere della sua causa (DTF 137 I 195 consid. 2.3.2; 133 I 201 consid. 2.2). La riparazione del vizio deve tuttavia, segnatamente in pre- senza di violazioni particolarmente gravi, rimanere l'eccezione, non fosse altro perché la concessione successiva del diritto di essere sentito costituisce so- vente solo un surrogato imperfetto dell'omessa audizione preventiva. La possi- bilità della sanatoria, che tiene conto della necessità di un'esecuzione celere della domanda rogatoriale giusta l'art. 17a AIMP e dell'economia procedurale, non deve inoltre essere interpretata dall'autorità d'esecuzione come un invito a violare i diritti processuali della persona toccata (sentenza del Tribunale fede- rale 1C_560/2011 del 20 dicembre 2011 consid. 2.2). Una riparazione entra in linea di considerazione solo se la persona interessata non abbia a subire pre- giudizio dalla concessione successiva del diritto di essere sentito, rispettiva- mente dalla sanatoria (DTF 129 I 129 consid. 2.2.3). In nessun caso, comun- que, può essere ammesso che l'autorità pervenga attraverso una violazione del diritto di essere sentito ad un risultato che non avrebbe mai ottenuto proce- dendo in modo corretto (DTF 135 I 279 consid. 2.6.1).</w:t>
      </w:r>
    </w:p>
    <w:p>
      <w:r>
        <w:t>Secondo la giurisprudenza, l'autorità di esecuzione, dopo aver concesso al detentore della documentazione la possibilità di addurre i motivi che si oppor- rebbero alla trasmissione di determinati atti e la facoltà di partecipare alla ne- 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 torità svizzera d'esecuzione che, in assenza di un eventuale consenso all'ese- cuzione semplificata (art. 80c AIMP), prima di emanare una decisione di chiu- sura, deve impartire alle persone toccate giusta l'art. 80h lett. b AIMP e l’art. 9a OAIMP un termine per addurre riguardo a ogni singolo documento gli argomenti che secondo loro si opporrebbero alla consegna. Questo affinché esse possano esercitare in maniera concreta ed effettiva il loro diritto di essere sentite (v. art. 30 cpv. 1 PA), secondo modalità di collaborazione comunque rispettose</w:t>
      </w:r>
    </w:p>
    <w:p>
      <w:r>
        <w:t>- 7 -</w:t>
      </w:r>
    </w:p>
    <w:p>
      <w:r>
        <w:t>del principio della buona fede (art.</w:t>
      </w:r>
    </w:p>
    <w:p>
      <w:r>
        <w:rPr>
          <w:b/>
        </w:rPr>
        <w:t>E. 4</w:t>
      </w:r>
    </w:p>
    <w:p>
      <w:r>
        <w:t>novembre 2009 e per la Svizzera il 24 ottobre 2009 (RS 0.311.56), richiamati gli art. 14 e 23 relativi al riciclaggio in generale, a prescindere dalla natura del reato a monte. Alle questioni che il prevalente diritto internazionale contenuto in detti trattati non regola espressamente o implicitamente, come pure quando il diritto nazionale sia più favorevole all'assistenza rispetto a quello pattizio (co- 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 cipio di favore vale anche nell'applicazione delle pertinenti norme di diritto inter- nazionale (v. art. 48 n. 2 CAS, art. I n. 2 Accordo italo-svizzero; art. 39 n. 3 CRic). È fatto salvo il rispetto dei diritti fondamentali (DTF 145 IV 294 consid. 2.1; 135 IV 212 consid. 2.3; 123 II 595 consid. 7c).</w:t>
      </w:r>
    </w:p>
    <w:p>
      <w:r>
        <w:rPr>
          <w:b/>
        </w:rPr>
        <w:t>E. 4.1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 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 slazioni toccate, dalla medesima qualificazione giuridica (DTF 124 II 184 consid. 4b/cc pag. 188). Diversamente dall'ambito estradizionale, le misure di coopera- zione sono già ammesse se la condizione della doppia punibilità è ossequiata alla luce di una singola fattispecie (sentenza del Tribunale federale 1C_138/2007 del 17 luglio 2007 consid. 2.3 e rinvii).</w:t>
      </w:r>
    </w:p>
    <w:p>
      <w:r>
        <w:t>L'art. 2 lett. a CEAG permette tuttavia di rifiutare l'assistenza giudiziaria segna- tamente quando la domanda si riferisce a reati considerati dalla Parte richiesta come reati fiscali.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 visto all'art. 24 cpv. 1 OAIMP. Una truffa fiscale è realizzata se l'autore, me- 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2015 110 consid. 5.2.3 con</w:t>
      </w:r>
    </w:p>
    <w:p>
      <w:r>
        <w:t>- 12 -</w:t>
      </w:r>
    </w:p>
    <w:p>
      <w:r>
        <w:t>rinvii). Per realizzare il reato di truffa fiscale non è indispensabile fare uso di documenti falsi o alterati, ma sono ipotizzabili anche altre modalità di inganno astuto. Secondo la giurisprudenza, sono comunque in genere necessarie ma- novre fraudolente, una messa in scena o un edificio di menzogne, affinché si possa ritenere l’esistenza di un inganno astuto. In determinate circostanze an- che false informazioni la cui verifica non è possibile, è difficile o non è ragione- volmente esigibile possono costituire un inganno astuto, come pure se il truffa- tore dissuade la vittima dall'effettuare una verifica o prevede, date le circo- stanze, che essa rinuncerà a farlo in virtù, segnatamente, di un particolare rap- porto di fiducia (DTF 142 IV 153 consid. 2.2.2; 139 II 404 consid. 9.4; 137 IV 25 consid. 4.4.3.2 con rinvii; 135 IV 76 consid. 5.2; v. anche TPF 2008 128 con- sid. 5.4).</w:t>
      </w:r>
    </w:p>
    <w:p>
      <w:r>
        <w:rPr>
          <w:b/>
        </w:rPr>
        <w:t>E. 4.2</w:t>
      </w:r>
    </w:p>
    <w:p>
      <w:r>
        <w:t>In concreto, nella misura in cui ad A. è rimproverato di essersi appropriato, an- che con l’inganno e documentazione falsa, di ingenti valori patrimoniali affidatigli in gestione da D., valori oggetto in seguito di presunte operazioni di riciclaggio (v. supra Fatti lett. A, nonché consid. 3.2), i fatti contestati ad A. possono perlo- meno essere sussunti ai reati di appropriazione indebita (art. 138 CP), ammini- strazione infedele (art. 158 CP9, falsità in documenti (art. 251 CP), truffa (art. 146 CP) e riciclaggio di denaro (art. 305bis CP), per cui la condizione della dop- pia punibilità è palesemente ossequiata. Gli atti dell’incarto non permettono del resto di affermare che la domanda di assistenza verta su reati fiscali per i quali l’assistenza non può essere concessa. Le censure in questo ambito vanno dun- que disattese.</w:t>
      </w:r>
    </w:p>
    <w:p>
      <w:r>
        <w:rPr>
          <w:b/>
        </w:rPr>
        <w:t>E. 5</w:t>
      </w:r>
    </w:p>
    <w:p>
      <w:r>
        <w:t>L’insorgente sostiene che la rogatoria violi il principio della proporzionalità, sconfinando finanche in un’operazione di fishing expedition. Essa menziona tutta una serie di documenti sequestrati presso la sua sede (bilanci di società, corrispondenza, contratti, e-mail, documentazione contabile e bancaria, ecc.) che, a suo dire, non possono essere trasmessi alle autorità italiane in quanto non utili per l’inchiesta estera (v. act. 1, pag. 15 e segg.).</w:t>
      </w:r>
    </w:p>
    <w:p>
      <w:r>
        <w:rPr>
          <w:b/>
        </w:rPr>
        <w:t>E. 5.1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w:t>
      </w:r>
    </w:p>
    <w:p>
      <w:r>
        <w:t>- 13 -</w:t>
      </w:r>
    </w:p>
    <w:p>
      <w:r>
        <w:t>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(v. DTF 129 II 462 consid. 5.5; 124 II 180 consid. 3c inedito; 121 II 241 consid. 3b e c; sentenze del Tribunale fe- derale 1A.177/2006 del 10 dicembre 2007 consid. 5.5; 1A.227/2006 del 22 feb- braio 2007 consid. 3.2; 1A.195/2005 del 1° settembre 2005 in fine; sentenza del Tribunale penale federale RR.2019.257 del 12 febbraio 2020 consid. 2.1). Lo Stato richiedente dovrebbe in linea di principio essere informato di tutte le tran- sazioni effettuate attraverso i conti utilizzati dalle soggettività in questione e che possano far parte del meccanismo delittuoso messo in atto (v. sentenza del Tribunale penale federale RR.2014.4 del 30 luglio 2014 consid. 2.2.2). Natural- mente è anche possibile che i conti in questione non siano stati utilizzati per ricevere proventi di reati o per effettuare trasferimenti illeciti, ma l’autorità richie- dente ha comunque interesse a poterlo verificare essa stessa, sulla base di una documentazione completa, tenendo presente che l’assistenza reciproca è fina- lizzata non solo alla raccolta di prove incriminanti ma anche a discarico (sen- tenza del Tribunale federale 1A.88/2006 del 22 giugno 2006 consid. 5.3; sen- tenza del Tribunale penale federale RR.2007.29 del 30 maggio 2007 consid. 4.2). La trasmissione dell'intera documentazione potrà evitare altresì che le au- torità debbano inoltrare eventuali domande complementari (DTF 136 IV 82 con- 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w:t>
      </w:r>
    </w:p>
    <w:p>
      <w:r>
        <w:t>- 14 -</w:t>
      </w:r>
    </w:p>
    <w:p>
      <w:r>
        <w:t>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723, pag. 798 e seg.). Vie- tata è per contro la cosiddetta fishing expedition, la quale è definita dalla giuri- sprudenza una ricerca generale e indeterminata di mezzi di prova volta a fon- 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5.2</w:t>
      </w:r>
    </w:p>
    <w:p>
      <w:r>
        <w:t>Nella fattispecie, l'utilità potenziale della documentazione cartacea litigiosa non può essere esclusa. Trattasi dei documenti contenuti in una mappetta bianca oggetto del sequestro n. 11 nonché di un documento bancario concernente F. SA. La loro potenziale pertinenza per l’inchiesta estera è data dal fatto che contengono i nominativi di diverse persone fisiche e giuridiche implicate nei fatti oggetto d’indagine all’estero, selezionati quali parole chiave – determinate in base alla rogatoria e riprese nella decisione di entrata in materia e incidentale del 19 maggio 2021 (v. atto 6 incarto MP-TI) – per la cernita dei dati informatici ma evidentemente valide anche per i documenti cartacei. Concernendo il pro- cedimento italiano reati di natura patrimoniale, le autorità italiane devono poter accedere a tutta la documentazione selezionata dal MP-TI, al fine di ricostruire il flusso di valori patrimoniali distratti a D. e di verificare l’esistenza di eventuali ulteriori legami finanziari con le soggettività, conosciute o ancora sconosciute, toccate dall’inchiesta. Dopo una prima cernita l’autorità d’esecuzione ha già del resto giustamente escluso determinati documenti che nulla hanno a che fare con la rogatoria (v. act. 1.1, pag.10 e seg.).</w:t>
      </w:r>
    </w:p>
    <w:p>
      <w:r>
        <w:t>Per il resto, spetterà al giudice estero del merito chinarsi sulle contestazioni dei fatti e/o reati formulate dalla ricorrente nonché valutare se dalla documenta- zione inoltrata emerge in concreto una connessione penalmente rilevante fra i fatti oggetto della procedura penale in Italia e detta documentazione. Alla luce della domanda rogatoriale risulta che tutta la documentazione cartacea litigiosa è potenzialmente utile per l’inchiesta, motivo per cui la sua trasmissione rispetta il principio della proporzionalità e non costituisce una ricerca esplorativa e indi- scriminata di prove.</w:t>
      </w:r>
    </w:p>
    <w:p>
      <w:r>
        <w:rPr>
          <w:b/>
        </w:rPr>
        <w:t>E. 6</w:t>
      </w:r>
    </w:p>
    <w:p>
      <w:r>
        <w:t>In conclusione, nella misura della sua ammissibilità, il ricorso è parzialmente accolto e il punto 2 lett. c del dispositivo della decisione impugnata è annullato</w:t>
      </w:r>
    </w:p>
    <w:p>
      <w:r>
        <w:t>- 15 -</w:t>
      </w:r>
    </w:p>
    <w:p>
      <w:r>
        <w:t>e la causa è rinviata al MP-TI per nuova decisione su tale punto nel rispetto del diritto di essere sentita della ricorrente. Per il resto, il ricorso è respinto e la decisione confermata.</w:t>
      </w:r>
    </w:p>
    <w:p>
      <w:r>
        <w:rPr>
          <w:b/>
        </w:rPr>
        <w:t>E. 7.1</w:t>
      </w:r>
    </w:p>
    <w:p>
      <w:r>
        <w:t>Le spese seguono la soccombenza (v. art. 63 cpv. 1 PA). La tassa di giustizia ridotta è calcolata giusta gli art. 73 cpv. 2 LOAP, 63 cpv. 4bis PA, nonché 5 e 8 cpv. 3 del regolamento del 31 agosto 2010 sulle spese, gli emolumenti, le ripe- tibili e le indennità della procedura penale federale (RSPPF; RS 173.713.162), ed è fissata, visto il comunque alto grado di soccombenza, a fr. 4’000.–; essa è coperta dall'anticipo delle spese di fr. 6'000.– già versato. La cassa del Tribu- nale restituirà ai ricorrenti il saldo di fr. 2'000.–.</w:t>
      </w:r>
    </w:p>
    <w:p>
      <w:r>
        <w:rPr>
          <w:b/>
        </w:rPr>
        <w:t>E. 7.2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questa disposizione agli art. 10 e segg. In base all'art. 12 cpv. 2 RSPPF, se l'avvocato, come in casu, non presenta alcuna nota delle spese, l'onorario è fissato secondo il libero appezzamento della Corte dei reclami penali. Nella fat- tispecie, appare adeguato un onorario di fr. 1’000.–. L'indennità è messa a ca- rico del Ministero pubblico ticinese in quanto autorità inferiore giusta l'art. 64 cpv. 2 PA.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