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RR.2022.169 vom 25. November 2022</w:t>
      </w:r>
    </w:p>
    <w:p>
      <w:r>
        <w:t>Bundesstrafgericht, 2022-11-25, IT</w:t>
      </w:r>
    </w:p>
    <w:p>
      <w:r>
        <w:rPr>
          <w:b/>
        </w:rPr>
        <w:t xml:space="preserve">Quelle: </w:t>
      </w:r>
      <w:r>
        <w:t>https://mcp.opencaselaw.ch/entscheid/bstger_RR.2022.169</w:t>
      </w:r>
    </w:p>
    <w:p>
      <w:r>
        <w:t>FR: TPF RR.2022.169 du 25 novembre 2022</w:t>
      </w:r>
    </w:p>
    <w:p>
      <w:r>
        <w:t>IT: TPF RR.2022.169 del 25 novembre 2022</w:t>
      </w:r>
    </w:p>
    <w:p>
      <w:pPr>
        <w:pStyle w:val="Heading2"/>
      </w:pPr>
      <w:r>
        <w:t>Regeste</w:t>
      </w:r>
    </w:p>
    <w:p>
      <w:r>
        <w:t>Assistenza giudiziaria internazionale in materia penale alla Lituania; consegna di mezzi di prova (art. 74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la Lituania e la Confe- derazione Svizzera sono anzitutto retti dalla Convenzione europea di assi- stenza giudiziaria in materia penale del 20 aprile 1959, entrata in vigore il 16 lu- glio 1997 per la Lituania e il 20 marzo 1967 per la Svizzera (CEAG; RS 0.351.1), dal Secondo Protocollo addizionale alla CEAG dell’8 novembre 2001, concluso a Strasburgo l'8 novembre 2001, entrato in vigore il 1° agosto 2004 per la Litua- nia e il 1° febbraio 2005 per la Svizzera (RS 0.351.12), nonché dagli art. 48 e segg. della Convenzione di applicazione dell'Accordo di Schengen del 14 giu- gno 1985 (CAS; non pubblicata nella RS ma consultabile sulla piattaforma di pubblicazione Internet della Confederazione alla voce “Raccolta dei testi giuri- dici riguardanti gli accordi bilaterali”, 8.1 Allegato A). Di rilievo nella fattispecie è anche la Convenzione sul riciclaggio, la ricerca, il sequestro e la confisca dei proventi di reato, conclusa a Strasburgo l’8 novembre 1990, entrata in vigore il 1° ottobre 1995 per la Lituania e il 1° settembre 1993 per la Svizzera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w:t>
      </w:r>
    </w:p>
    <w:p>
      <w:r>
        <w:t>- 5 -</w:t>
      </w:r>
    </w:p>
    <w:p>
      <w:r>
        <w:t>DTF 145 IV 294 consid. 2.1; 142 IV 250 consid. 3; 140 IV 123 consid. 2; 137 IV 33 consid. 2.2.2; 136 IV 82 consid. 3.1). Il principio di favore vale anche nell'ap- plicazione delle pertinenti norme di diritto internazionale (v. art. 48 n. 2 CAS). È fatto salvo il rispetto dei diritti fondamentali (DTF 145 IV 294 consid. 2.1;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1.6</w:t>
      </w:r>
    </w:p>
    <w:p>
      <w:r>
        <w:t>Interposto tempestivamente contro la sopraccitata decisione di chiusura, il ri- corso è ricevibile sotto il profilo degli art. 25 cpv. 1, 80e cpv. 1 e 80k AIMP. Titolare della relazione bancaria n. 1 presso la banca C., la ricorrente è legitti- mata a ricorrere per tale relazione (v. art. 80h lett. b AIMP e art. 9a lett. a OAIMP nonché DTF 137 IV 134 consid. 5.2.1; 130 II 162 consid. 1.1; 128 II 211 con- sid. 2.3; TPF 2007 79 consid. 1.6 pag. 82).</w:t>
      </w:r>
    </w:p>
    <w:p>
      <w:r>
        <w:rPr>
          <w:b/>
        </w:rPr>
        <w:t>E. 2</w:t>
      </w:r>
    </w:p>
    <w:p>
      <w:r>
        <w:t>La ricorrente censura la violazione del suo diritto di essere sentita, nella misura in cui l’autorità d’esecuzione, da una parte, non le avrebbe notificato corretta- mente la decisione impugnata, nel senso che quest’ultima sarebbe stata notifi- cata alla banca ma non all’insorgente domiciliata in Svizzera e, dall’altra, non le avrebbe dato la possibilità di esprimersi prima dell’emanazione della decisione di chiusura, precisato che il divieto d’informare imposto alla banca sarebbe stato arbitrariamente revocato soltanto al momento della predetta decisione.</w:t>
      </w:r>
    </w:p>
    <w:p>
      <w:r>
        <w:rPr>
          <w:b/>
        </w:rPr>
        <w:t>E. 2.1</w:t>
      </w:r>
    </w:p>
    <w:p>
      <w:r>
        <w:t>Il diritto di essere sentito, ancorato all’art. 29 cpv. 2 Cost., viene concretizzato nell’ambito dell’assistenza giudiziaria internazionale agli art. 29 e segg. PA richiamati dall’art. 12 cpv. 1 AIMP (ZIMMERMANN, La coopération judiciaire inter- nationale ne matière pénale, 5a ediz. 2019, n. 472). Esso è di natura formale (DTF 126 I 19 consid. 2d/bb pag. 24; 125 I 113 consid. 3; ALBERTINI, Der verfassungsmässige Anspruch auf rechtliches Gehör im Verwaltungsverfahren des modernen Staates, 2000, pag. 449 con rinvii). Una violazione di questo di- ritto fondamentale da parte dell’autorità d’esecuzione non comporta comunque automaticamente l’accoglimento del gravame e l’annullamento della decisione impugnata (v. WEISS/CASANOVA, Leichte oder schwere Verletzung des rechtli- chen Gehörs?, in: ZBJV 2020, pag. 27 e segg.). Secondo la giurisprudenza e</w:t>
      </w:r>
    </w:p>
    <w:p>
      <w:r>
        <w:t>- 6 -</w:t>
      </w:r>
    </w:p>
    <w:p>
      <w:r>
        <w:t>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 ché 1A.54/2004 del 30 aprile 2004; TPF 2008 172 consid. 2.3; TPF 2007 57; ZIMMERMANN, op. cit., n. 472).</w:t>
      </w:r>
    </w:p>
    <w:p>
      <w:r>
        <w:t>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possi- 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 rale 1C_560/2011 del 20 dicembre 2011 consid. 2.2). Una riparazione entra in linea di considerazione solo se la persona interessata non abbia a subire pre- 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t>Secondo la giurisprudenza, l'autorità di esecuzione, dopo aver concesso al detentore della documentazione la possibilità di addurre i motivi che si oppor- rebbero alla trasmissione di determinati atti e la facoltà di partecipare alla ne- 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l’art. 9a OAIMP un termine per addurre riguardo a ogni singolo documento gli argomenti che secondo loro si opporrebbero alla consegna. Questo affinché esse possano esercitare in maniera concreta ed effettiva il loro diritto di essere sentite (v.</w:t>
      </w:r>
    </w:p>
    <w:p>
      <w:r>
        <w:t>- 7 -</w:t>
      </w:r>
    </w:p>
    <w:p>
      <w:r>
        <w:t>art. 30 cpv. 1 PA), secondo modalità di collaborazione comunque rispettose del principio della buona fede (art. 5 cpv. 3 Cost.; KRAUSKOPF/EMMENEGGER/BABEY, in: Waldmann/Weissenberger, Praxiskommentar VwVG, 2a ediz. 2016, n. 54 ad art. 12 PA). La cernita deve aver luogo anche qualora l'interessato rinunci ad esprimersi (DTF 130 II 14 consid. 4.3 e 4.4; 126 II 258 consid. 9b/aa pag. 262; cfr. anche DTF 127 II 151 consid. 4c/aa; ZIMMERMANN, op. cit., n. 484, 723-724; DE PREUX, L'entraide internationale en matière pénale et la lutte contre le blan- chiment d'argent, in SJZ 104/2008 n. 2 pag. 34).</w:t>
      </w:r>
    </w:p>
    <w:p>
      <w:r>
        <w:rPr>
          <w:b/>
        </w:rPr>
        <w:t>E. 2.2</w:t>
      </w:r>
    </w:p>
    <w:p>
      <w:r>
        <w:t>Nella fattispecie, occorre innanzitutto rilevare che la decisione di entrata in ma- teria del 12 febbraio 2021 è stata notificata unicamente alla banca C. e all’UFG, contemplando la stessa un divieto di informare i titolari dei conti oggetto delle misure per una durata di sei mesi dalla notifica della decisione (v. act. 1.1). Tale divieto è stato revocato il 5 agosto 2021 (v. atto 12 incarto MP-TI), ossia il giorno in cui è stata emanata la decisione di chiusura. Ora, premesso che la ricorrente ha la sua sede in Svizzera, per cui è a torto che la decisione impugnata non le è stata notificata direttamente, e che l’autorità d’esecuzione avrebbe dovuto revocare il divieto d’informazione prima dell’emanazione della decisione di chiu- sura (v. sentenza del Tribunale federale 1A.107/2006 del 10 agosto 2006 con- sid. 2.5; sentenza del Tribunale penale federale RR.2017.60-61 del 28 giugno 2017 consid. 2.1.2), il modo di procedere del MP-TI non ha lasciato nessuna possibilità alla ricorrente di esprimersi sui documenti oggetto della trasmissione litigiosa e di partecipare quindi alla cernita, violando in maniera grave il suo diritto di essere sentita. In considerazione della gravità della violazione del diritto di essere sentita della ricorrente e del fatto che l'autorità di esecuzione non ha fornito la benché minima osservazione al riguardo nell'ambito della presente procedura (v. supra Fatti lett. F), detta violazione non è sanabile dinanzi a que- sta Corte, nonostante il pieno potere di esame di cui essa dispone. L'art. 61 cpv. 1 PA prevede che l'autorità di ricorso può eccezionalmente rinviare la causa all'autorità inferiore con istruzioni vincolanti. Ciò è ad esempio il caso quando vi è una violazione non sanabile del diritto di essere sentito (v. CAMPRUBI, in Auer/Müller/Schindler (ed.), VwVG Kommentar, 2a ediz. 2019, n. 11 ad art. 61 PA). La decisione impugnata deve quindi essere annullata per quanto concerne la documentazione bancaria della ricorrente (v. punto 2 lett. c del dispositivo) e la causa rinviata all'autorità precedente. Di conseguenza l’esame delle ulteriori censure ricorsuali si rivela superfluo.</w:t>
      </w:r>
    </w:p>
    <w:p>
      <w:r>
        <w:rPr>
          <w:b/>
        </w:rPr>
        <w:t>E. 3</w:t>
      </w:r>
    </w:p>
    <w:p>
      <w:r>
        <w:t>In conclusione, il ricorso va accolto, il punto 2 lett. c del dispositivo della deci- sione impugnata è annullato e la causa è rinviata al MP-TI per nuova decisione nel rispetto del diritto di essere sentita della ricorrente.</w:t>
      </w:r>
    </w:p>
    <w:p>
      <w:r>
        <w:t>- 8 -</w:t>
      </w:r>
    </w:p>
    <w:p>
      <w:r>
        <w:rPr>
          <w:b/>
        </w:rPr>
        <w:t>E. 4.1</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4.2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appezzamento della Corte dei reclami penali. Nella fat- tispecie, appare adeguato un onorario di fr. 2'000.–. L'indennità è messa a ca- rico del Ministero pubblico del Cantone Ticino in quanto autorità inferiore giusta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