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RR.2022.167 vom 5. April 2023</w:t>
      </w:r>
    </w:p>
    <w:p>
      <w:r>
        <w:t>Bundesstrafgericht, 2023-04-05, FR</w:t>
      </w:r>
    </w:p>
    <w:p>
      <w:r>
        <w:rPr>
          <w:b/>
        </w:rPr>
        <w:t xml:space="preserve">Quelle: </w:t>
      </w:r>
      <w:r>
        <w:t>https://mcp.opencaselaw.ch/entscheid/bstger_RR.2022.167</w:t>
      </w:r>
    </w:p>
    <w:p>
      <w:r>
        <w:t>FR: TPF RR.2022.167 du 5 avril 2023</w:t>
      </w:r>
    </w:p>
    <w:p>
      <w:r>
        <w:t>IT: TPF RR.2022.167 del 5 aprile 2023</w:t>
      </w:r>
    </w:p>
    <w:p>
      <w:pPr>
        <w:pStyle w:val="Heading2"/>
      </w:pPr>
      <w:r>
        <w:t>Regeste</w:t>
      </w:r>
    </w:p>
    <w:p>
      <w:r>
        <w:t>Entraide judiciaire internationale en matière pénale au Liban; remise de moyens de preuve (art. 74 EIMP)</w:t>
      </w:r>
    </w:p>
    <w:p>
      <w:pPr>
        <w:pStyle w:val="Heading2"/>
      </w:pPr>
      <w:r>
        <w:t>Erwägungen</w:t>
      </w:r>
    </w:p>
    <w:p>
      <w:r>
        <w:rPr>
          <w:b/>
        </w:rPr>
        <w:t>E. 1.1</w:t>
      </w:r>
    </w:p>
    <w:p>
      <w:r>
        <w:t>Vu les reproches de blanchiment d’argent objet de la demande d’entraide, s’appliquent, en l’espèce, indépendamment de la nature de l’infraction préalable, les art. 43 ss et, en particulier, l’art. 46, par renvoi des art. 14 et 23, de la Convention des Nations Unies contre la corruption, conclue le 31 octobre 2003, entrée en vigueur pour le Liban le 22 mai 2009 et pour la Suisse le 24 octobre 2009 (UNCAC; RS 0.311.56). Le droit interne, soit la loi fédérale sur l’entraide internationale en matière pénale du 20 mars 1981 (EIMP; RS 351.1) et son ordonnance d'exécution du 24 février 1982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w:t>
      </w:r>
    </w:p>
    <w:p>
      <w:r>
        <w:t>- 5 -</w:t>
      </w:r>
    </w:p>
    <w:p>
      <w:r>
        <w:t>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Titulaire de la relation bancaire dont le MPC ordonne la transmission de la documentation à l’Etat requérant, la recourante dispose de la qualité pour recourir contre le prononcé entrepris (art. 80h let. b EIMP et 9a let. a et b OEIMP; ATF 137 IV 134 consid. 5; 118 Ib 547 consid. 1d).</w:t>
      </w:r>
    </w:p>
    <w:p>
      <w:r>
        <w:rPr>
          <w:b/>
        </w:rPr>
        <w:t>E. 1.4</w:t>
      </w:r>
    </w:p>
    <w:p>
      <w:r>
        <w:t>Interjeté le 7 septembre 2022, contre une décision notifiée le 8 août 2022, le recours a été déposé en temps utile (art. 80k EIMP).</w:t>
      </w:r>
    </w:p>
    <w:p>
      <w:r>
        <w:rPr>
          <w:b/>
        </w:rPr>
        <w:t>E. 1.5</w:t>
      </w:r>
    </w:p>
    <w:p>
      <w:r>
        <w:t>Le recours est recevable et il y a lieu d’entrer en matière.</w:t>
      </w:r>
    </w:p>
    <w:p>
      <w:r>
        <w:rPr>
          <w:b/>
        </w:rPr>
        <w:t>E. 2</w:t>
      </w:r>
    </w:p>
    <w:p>
      <w:r>
        <w:t>Dans un premier grief, la recourante invoque la violation du principe de réciprocité prévu à l’art. 8 EIMP. Comme l’indique le MPC dans son prononcé entrepris, par lettre datée du 11 mars 2021, l’Etat requérant « a refusé de fournir les renseignements supplémentaires requis » le 9 juin 2021 par le MPC. En conséquence, une garantie de réciprocité aurait dû être sollicitée, via, l’OFJ, vu l’absence de traité liant les deux pays (act. 1, p. 3 ss).</w:t>
      </w:r>
    </w:p>
    <w:p>
      <w:r>
        <w:rPr>
          <w:b/>
        </w:rPr>
        <w:t>E. 2.1</w:t>
      </w:r>
    </w:p>
    <w:p>
      <w:r>
        <w:t>En règle générale, il n'est donné suite à une demande étrangère que si l'Etat requérant assure la réciprocité (art. 8 al. 1, 1ère phrase EIMP). L'OFJ requiert une telle garantie si les circonstances l'exigent (art. 8 al. 1, 2e phrase, EIMP). Il dispose à cet égard d'un large pouvoir d'appréciation (ATF 130 II 217 consid. 7.1; 110 Ib 173 consid. 3a p. 176). Une déclaration de réciprocité a été exigée dans la plupart des cas où un traité fait défaut (pour un aperçu de la pratique, v. ZIMMERMANN, La coopération judiciaire en matière pénale, 5e éd. 2019, n. 575). L'OFJ renonce à l'exigence de la réciprocité, notamment, lorsque l'exécution de la demande paraît de toute manière s'imposer à raison de la nature de l'acte commis ou de la nécessité de lutter</w:t>
      </w:r>
    </w:p>
    <w:p>
      <w:r>
        <w:t>- 6 -</w:t>
      </w:r>
    </w:p>
    <w:p>
      <w:r>
        <w:t>contre certaines formes d'infractions (art. 8 al. 2 let. a EIMP). Cela concerne en particulier la répression de la criminalité organisée et des délits économiques (ATF 115 Ib 517 consid. 4b p. 525; 110 Ib 173 consid. 3a p. 176), du blanchiment d'argent et de la corruption (arrêt du Tribunal fédéral 1A.49/2002 du 23 avril 2003 consid. 4.1 non publié à l'ATF 129 II 268 et les arrêts cités).</w:t>
      </w:r>
    </w:p>
    <w:p>
      <w:r>
        <w:rPr>
          <w:b/>
        </w:rPr>
        <w:t>E. 2.2</w:t>
      </w:r>
    </w:p>
    <w:p>
      <w:r>
        <w:t>D’emblée, il y a lieu de rappeler, contrairement à ce que retient la recourante, l’application de l’UNCAC (v. supra consid. 1.1), ainsi que le fait que l’entraide est requise pour soupçons de blanchiment d’argent et détournement de fonds publics (v. art. 17 UNCAC; v. supra Faits, let. A). Dans ces conditions, l’octroi de l’entraide se justifie, indépendamment de la réciprocité, même si, en l’espèce, la question se pose de savoir si la lettre de l’Etat requérant, datée du 11 mars 2021, doit être considérée, comme l’a fait le MPC, comme un refus de l’entraide. Le grief tombe à faux.</w:t>
      </w:r>
    </w:p>
    <w:p>
      <w:r>
        <w:rPr>
          <w:b/>
        </w:rPr>
        <w:t>E. 3</w:t>
      </w:r>
    </w:p>
    <w:p>
      <w:r>
        <w:t>La recourante invoque ensuite une violation du principe de la proportionnalité. De son point de vue, seule la transmission des documents d’ouverture du compte et de l’avis de crédit pour le seul transfert du 25 octobre 2011 à hauteur de CHF 900'000.-- identifié par l’autorité d’exécution en lien avec la demande libanaise se justifierait, non celle des relevés de compte de l’ouverture jusqu’à la fin de l’année 2021 (act. 1, p. 4).</w:t>
      </w:r>
    </w:p>
    <w:p>
      <w:r>
        <w:rPr>
          <w:b/>
        </w:rPr>
        <w:t>E. 3.1.1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w:t>
      </w:r>
    </w:p>
    <w:p>
      <w:r>
        <w:t>- 7 -</w:t>
      </w:r>
    </w:p>
    <w:p>
      <w:r>
        <w:t>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 n. 723 et s.).</w:t>
      </w:r>
    </w:p>
    <w:p>
      <w:r>
        <w:rPr>
          <w:b/>
        </w:rPr>
        <w:t>E. 3.1.2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w:t>
      </w:r>
    </w:p>
    <w:p>
      <w:r>
        <w:t>- 8 -</w:t>
      </w:r>
    </w:p>
    <w:p>
      <w:r>
        <w:t>actes du même genre (v. arrêt du Tribunal pénal fédéral RR.2018.88-89 du 9 mai 2018 consid. 4.2).</w:t>
      </w:r>
    </w:p>
    <w:p>
      <w:r>
        <w:rPr>
          <w:b/>
        </w:rPr>
        <w:t>E. 3.2</w:t>
      </w:r>
    </w:p>
    <w:p>
      <w:r>
        <w:t>En l’espèce, l’entraide requise consiste en l’obtention de la documentation bancaire relative à la relation ouverte au nom de la recourante près la banque G., dont B. est ayant droit économique, en vue de permettre à l’Etat requérant de reconstituer le cheminement des fonds potentiellement issus et/ou constitutifs des infractions pour lesquelles le MPC a admis l’entraide. Partant, il existe un lien de connexité suffisant entre les informations à transmettre et l’état de faits de la procédure dans l’Etat requérant pour admettre la transmission de la documentation bancaire relative à la relation bancaire ouverte au nom de la recourante, telle que répertoriée dans le dispositif du prononcé entrepris. Le devoir d’exhaustivité incombant à l’autorité d’exécution lui impose de transmettre tous les renseignements concernant de près ou de loin les infractions poursuivies, surtout dans des affaires aux contours complexes, comme la présente. Ce d’autant que, contrairement à ce que retient la recourante, le MPC, dans son prononcé entrepris, n’a pas identifié un seul, mais plusieurs transferts potentiellement en lien avec la demande d’entraide libanaise (act. 1.2, p. 5ss). Cela ressort également de la demande d’entraide (v. supra Faits, let. A).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3.1.2). Le grief est infondé.</w:t>
      </w:r>
    </w:p>
    <w:p>
      <w:r>
        <w:rPr>
          <w:b/>
        </w:rPr>
        <w:t>E. 4</w:t>
      </w:r>
    </w:p>
    <w:p>
      <w:r>
        <w:t>En règle générale, les frais de procédure comprenant l'émolument d'arrêt, les émoluments de chancellerie et les débours sont mis à la charge de la partie qui succombe (art. 63 al. 1 PA, applicable par renvoi de l'art. 39 LOAP). En tant que telle, la recourante doit supporter les frais du présent arrêt, lesquels sont fixés à CHF 5’000.-- (v. art. 73 al. 2 LOAP, art. 8 al. 3 let. a du règlement du Tribunal pénal fédéral sur les frais, émoluments, dépens, et indemnités de la procédure pénale fédérale [RFPPF; RS 173.713.162] et art. 63 al. 5 PA), montant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