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RR.2022.161 vom 30. November 2022</w:t>
      </w:r>
    </w:p>
    <w:p>
      <w:r>
        <w:t>Bundesstrafgericht, 2022-11-30, FR</w:t>
      </w:r>
    </w:p>
    <w:p>
      <w:r>
        <w:rPr>
          <w:b/>
        </w:rPr>
        <w:t xml:space="preserve">Quelle: </w:t>
      </w:r>
      <w:r>
        <w:t>https://mcp.opencaselaw.ch/entscheid/bstger_RR.2022.161</w:t>
      </w:r>
    </w:p>
    <w:p>
      <w:r>
        <w:t>FR: TPF RR.2022.161 du 30 novembre 2022</w:t>
      </w:r>
    </w:p>
    <w:p>
      <w:r>
        <w:t>IT: TPF RR.2022.161 del 30 novembre 2022</w:t>
      </w:r>
    </w:p>
    <w:p>
      <w:pPr>
        <w:pStyle w:val="Heading2"/>
      </w:pPr>
      <w:r>
        <w:t>Regeste</w:t>
      </w:r>
    </w:p>
    <w:p>
      <w:r>
        <w:t>Entraide judiciaire internationale en matière pénale au Royaume-Uni; remise de moyens de preuve (art. 74 EIMP)</w:t>
      </w:r>
    </w:p>
    <w:p>
      <w:pPr>
        <w:pStyle w:val="Heading2"/>
      </w:pPr>
      <w:r>
        <w:t>Erwägungen</w:t>
      </w:r>
    </w:p>
    <w:p>
      <w:r>
        <w:rPr>
          <w:b/>
        </w:rPr>
        <w:t>E. 1.1</w:t>
      </w:r>
    </w:p>
    <w:p>
      <w:r>
        <w:t>L'entraide judiciaire entre le Royaume-Uni et la Confédération suisse est prioritairement régie par la Convention européenne d’entraide judiciaire en matière pénale (CEEJ; RS 0.351.1), entrée en vigueur pour la Suisse le 20 mars 1967 et pour le Royaume-Uni le 27 novembre 1991, ainsi que par le Deuxième Protocole additionnel à ladite Convention, entré en vigueur pour la Suisse le 1er février 2005 et pour l'Etat requérant le 1er octobre 2010 (RS 0.351.12). En l’espèce, trouvent également application les dispositions de la Convention relative au blanchiment, au dépistage, à la saisie et à la</w:t>
      </w:r>
    </w:p>
    <w:p>
      <w:r>
        <w:t>- 4 -</w:t>
      </w:r>
    </w:p>
    <w:p>
      <w:r>
        <w:t>confiscation des produits du crime (CBl; RS 0.311.53), entrée en vigueur le 1er septembre 1993. Dans le cadre de la lutte contre la corruption d’agents publics étrangers et le blanchiment d'argent, s’applique aussi la Convention des Nations Unies contre la corruption, conclue à New York le 31 octobre 2003 et entrée en vigueur pour la Suisse le 24 octobre 2009 et pour le Royaume-Uni le 11 mars 2006 (UNCAC; RS 0.311.56). S'appliquent en outre les dispositions pertinentes de l'Accord de coopération entre la Confédération suisse, d'une part, et la Communauté européenne et ses Etats membres, d'autre part, pour lutter contre la fraude et toute autre activité illégale portant atteinte à leurs intérêts financiers conclu le 26 octobre 2004 (Accord anti-fraude; RS 0.351.926.81), puisque ce dernier a été incorporé dans l’Accord commercial entre la Suisse et le Royaume-Uni du 11 février 2019 (RS 0.946.293.671; v. art. 1 ch. 1 let. g, entré en vigueur le 1er janvier 2021).</w:t>
      </w:r>
    </w:p>
    <w:p>
      <w:r>
        <w:rPr>
          <w:b/>
        </w:rPr>
        <w:t>E. 1.2</w:t>
      </w:r>
    </w:p>
    <w:p>
      <w:r>
        <w:t>Les dispositions de ces traités l’emportent sur le droit autonome qui régit la matière, soit la loi fédérale sur l'entraide internationale en matière pénale (EIMP; RS 351.1) et son ordonnance d’exécution (OEIMP; RS 351.11). Le droit interne reste toutefois applicable aux questions qui ne sont pas réglées, explicitement ou implicitement, par les dispositions conventionnelles (art. 1 al. 1 EIMP) et lorsqu’il est plus favorable à l’entraide (ATF 142 IV 250 consid. 3; 140 IV 123 consid. 2; 137 IV 33 consid. 2.2.2), ce qui est valable aussi dans le rapport entre elles des normes internationales (v. art. 39 ch. 3 CBI et art. 7 Accord anti-fraude). L’application de la norme la plus favorable doit avoir lieu dans le respect des droits fondamentaux (ATF 135 IV 212 consid. 2.3; 123 II 595 consid. 7c).</w:t>
      </w:r>
    </w:p>
    <w:p>
      <w:r>
        <w:rPr>
          <w:b/>
        </w:rPr>
        <w:t>E. 1.3</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1.4</w:t>
      </w:r>
    </w:p>
    <w:p>
      <w:r>
        <w:t>Titulaire des relations bancaires dont le MPC ordonne la transmission de la documentation à l’Etat requérant, la recourante dispose de la qualité pour recourir contre le prononcé entrepris (art. 80h let. b EIMP et 9a let. a et b OEIMP; ATF 137 IV 134 consid. 5; 118 Ib 547 consid. 1d).</w:t>
      </w:r>
    </w:p>
    <w:p>
      <w:r>
        <w:t>- 5 -</w:t>
      </w:r>
    </w:p>
    <w:p>
      <w:r>
        <w:rPr>
          <w:b/>
        </w:rPr>
        <w:t>E. 1.5</w:t>
      </w:r>
    </w:p>
    <w:p>
      <w:r>
        <w:t>Interjeté le 19 août 2022, contre une décision notifiée le 20 juillet 2022, le recours a été déposé en temps utile (art. 80k EIMP).</w:t>
      </w:r>
    </w:p>
    <w:p>
      <w:r>
        <w:rPr>
          <w:b/>
        </w:rPr>
        <w:t>E. 1.6</w:t>
      </w:r>
    </w:p>
    <w:p>
      <w:r>
        <w:t>Le recours est recevable et il y a lieu d’entrer en matière.</w:t>
      </w:r>
    </w:p>
    <w:p>
      <w:r>
        <w:rPr>
          <w:b/>
        </w:rPr>
        <w:t>E. 2</w:t>
      </w:r>
    </w:p>
    <w:p>
      <w:r>
        <w:t>La recourante reproche au MPC une violation du principe de proportionnalité. Elle estime que la transmission des documents envisagée n’est pas apte à produire les résultats escomptés, les pièces n’étant pas pertinentes pour la confiscation des biens envisagée dans l’Etat requérant. De l’avis de la recourante, les fonds retrouvés ou ayant transité sur les comptes en Suisse à son nom, dont le MPC envisage la transmission de la documentation bancaire à l’Etat requérant, ne peuvent avoir servi à l’achat de biens dans cet Etat. Le MPC, qui enquête depuis 2012 sur les faits, est ainsi en mesure de se prononcer sur l’opportunité d’administrer les moyens de preuves requis (act. 1, p. 4 à 6, et act. 10).</w:t>
      </w:r>
    </w:p>
    <w:p>
      <w:r>
        <w:rPr>
          <w:b/>
        </w:rPr>
        <w:t>E. 2.1.1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w:t>
      </w:r>
    </w:p>
    <w:p>
      <w:r>
        <w:t>- 6 -</w:t>
      </w:r>
    </w:p>
    <w:p>
      <w:r>
        <w:t>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5e éd. 2019, n. 723 et s.).</w:t>
      </w:r>
    </w:p>
    <w:p>
      <w:r>
        <w:rPr>
          <w:b/>
        </w:rPr>
        <w:t>E. 2.1.2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2.1.3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2.2</w:t>
      </w:r>
    </w:p>
    <w:p>
      <w:r>
        <w:t>En l’espèce, l’entraide requise consiste en l’obtention de moyens de preuve, en vue de permettre à l’Etat requérant de reconstituer le cheminement des fonds potentiellement issus d’infractions de corruption et de blanchiment de cette infraction, ayant transité sur les comptes en Suisse de la recourante, pour déterminer si les actifs visés par l’enquête britannique ont été acquis au</w:t>
      </w:r>
    </w:p>
    <w:p>
      <w:r>
        <w:t>- 7 -</w:t>
      </w:r>
    </w:p>
    <w:p>
      <w:r>
        <w:t>moyen desdits fonds et formuler une requête de recouvrement des produits du crime (v. supra Faits, let. A).</w:t>
      </w:r>
    </w:p>
    <w:p>
      <w:r>
        <w:rPr>
          <w:b/>
        </w:rPr>
        <w:t>E. 2.3</w:t>
      </w:r>
    </w:p>
    <w:p>
      <w:r>
        <w:t>Partant, il existe un lien de connexité suffisant entre les informations à transmettre et l’état de fait de la procédure dans l’Etat requérant pour admettre la transmission de la documentation bancaire relative aux deux relations de la recourante, telle que répertoriée dans le dispositif du prononcé entrepris. Le devoir d’exhaustivité incombant à l’autorité d’exécution lui impose de transmettre tous les renseignements concernant de près ou de loin les infractions poursuivies, surtout dans des affaires aux contours complexes, comme la présente. Au-delà de l’utilité potentielle, donnée en l’espèce,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(v. supra consid. 2.1.2).</w:t>
      </w:r>
    </w:p>
    <w:p>
      <w:r>
        <w:rPr>
          <w:b/>
        </w:rPr>
        <w:t>E. 2.4</w:t>
      </w:r>
    </w:p>
    <w:p>
      <w:r>
        <w:t>Le grief est infondé.</w:t>
      </w:r>
    </w:p>
    <w:p>
      <w:r>
        <w:rPr>
          <w:b/>
        </w:rPr>
        <w:t>E. 3</w:t>
      </w:r>
    </w:p>
    <w:p>
      <w:r>
        <w:t>La recourante conclut, à titre subsidiaire, à la suspension de la procédure, « jusqu’à droit jugé sur la procédure SK.2020.49, BB.2022.3 ». Par décision du 18 juillet 2022 (BB.2022.3), la Cour de céans a renvoyé la cause à la Cour des affaires pénales du Tribunal pénal fédéral, laquelle n’a pas démontré à satisfaction de droit la qualité d’agent public de B., de sorte qu’en l’état, « toute entraide devrait être refusée, dès lors qu’aucune infraction de corruption ne pourrait lui être reprochée » (act. 1, p. 6 et s.).</w:t>
      </w:r>
    </w:p>
    <w:p>
      <w:r>
        <w:rPr>
          <w:b/>
        </w:rPr>
        <w:t>E. 3.1</w:t>
      </w:r>
    </w:p>
    <w:p>
      <w:r>
        <w:t>Vu l’absence de dispositions spécifiques dans l’EIMP ou la PA, la question de la suspension de la procédure est régie par le Code de procédure pénale suisse, du 5 octobre 2007 (CPP; RS 312.0; v. art. 12 al. 1, 2e phrase EIMP et 54 CPP; arrêts du Tribunal pénal fédéral RR.2020.246 du 19 novembre 2020 consid. 2.5; RR.2014.32 du 3 juillet 2014 consid. 4.2; ZIMMERMANN, op. cit., n. 160, p. 175 et 273-1, p. 287). Selon l’art. 314 al. 1 let. b CPP, une procédure peut être suspendue, notamment lorsque l’issue de la procédure pénale dépend d’un autre procès dont il paraît indiqué d’attendre la fin. Cette disposition étant potestative et les motifs de suspension non exhaustifs, l'autorité dispose d'un certain pouvoir d'appréciation lui permettant de choisir la mesure la plus opportune. Le principe de la célérité pose des limites à la suspension d'une procédure, laquelle ne doit être admise qu'exceptionnellement, en particulier, lorsqu'il s'agit d'attendre une décision rendue par une autre autorité dont le prononcé permettrait de trancher une question décisive (ATF 130 V 90 consid. 5; arrêts du Tribunal</w:t>
      </w:r>
    </w:p>
    <w:p>
      <w:r>
        <w:t>- 8 -</w:t>
      </w:r>
    </w:p>
    <w:p>
      <w:r>
        <w:t>fédéral 1B_406/2017 du 23 janvier 2018 consid. 2; 1B_329/2017 du 11 septembre 2017 consid. 3; 1B_163/2014 du 18 juillet 2014 consid. 2.2; 1B_421/2012 du 19 juin 2013 consid. 2.3). En matière d’entraide, dans la mesure où la demande d’entraide n’a pas été retirée par l’autorité requérante, il y a lieu d’en achever l’exécution (arrêts du Tribunal fédéral 1C_284/2011 du 18 juillet 2011 consid. 1; 1C_357/2010 du 28 septembre 2010 consid. 1.2; 1C_559/2009 du 11 février 2010 consid. 1; 1A.218/2003 du 17 décembre 2003 consid. 3.5). Il en va des engagements internationaux pris par la Suisse, ainsi que de l’exigence de célérité ancrée à l’art. 17a EIMP (arrêt du Tribunal pénal fédéral RR.2011.144-148 du 26 janvier 2012 consid. 4.3), laquelle joue un rôle central en matière d’entraide. Certes, l'article 7 du deuxième Protocole additionnel du</w:t>
      </w:r>
    </w:p>
    <w:p>
      <w:r>
        <w:rPr>
          <w:b/>
        </w:rPr>
        <w:t>E. 3.2</w:t>
      </w:r>
    </w:p>
    <w:p>
      <w:r>
        <w:t>La procédure d’entraide et la procédure pénale sont deux procédures distinctes, qui ne sont pas soumises aux mêmes exigences procédurales; la première est de nature administrative, l’autre pénale.</w:t>
      </w:r>
    </w:p>
    <w:p>
      <w:r>
        <w:rPr>
          <w:b/>
        </w:rPr>
        <w:t>E. 3.3</w:t>
      </w:r>
    </w:p>
    <w:p>
      <w:r>
        <w:t>L’octroi de l’entraide ne dépend pas de la réalisation, en droit suisse, des infractions reprochées dans la demande d’entraide, mais est soumis au respect du principe de la double incrimination abstraite.</w:t>
      </w:r>
    </w:p>
    <w:p>
      <w:r>
        <w:rPr>
          <w:b/>
        </w:rPr>
        <w:t>E. 3.3.1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w:t>
      </w:r>
    </w:p>
    <w:p>
      <w:r>
        <w:t>- 9 -</w:t>
      </w:r>
    </w:p>
    <w:p>
      <w:r>
        <w:t>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w:t>
      </w:r>
    </w:p>
    <w:p>
      <w:r>
        <w:rPr>
          <w:b/>
        </w:rPr>
        <w:t>E. 3.3.2</w:t>
      </w:r>
    </w:p>
    <w:p>
      <w:r>
        <w:t>S’agissant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(v. ATF 130 II 329 consid. 5.1; 129 II 97 consid. 3; arrêts du Tribunal fédéral 1C_126/2014 du 16 mai 2014 consid. 4.4; 1A.231/2003 du 6 février 2004 consid. 5.3; TPF 2011 194 consid. 2.1 in fine; v. ég. ZIMMERMANN, op. cit., n. 602). Envers les Etats cocontractants de la CBI ou de l’UNCAC (v. supra consid. 1.1), la Suisse doit ainsi pouvoir accorder sa collaboration lorsque le soupçon de blanchiment est uniquement fondé sur l'existence de transactions suspectes (v. arrêts du Tribunal pénal fédéral RR.2020.178 du 6 mai 2021 consid. 3.3.2 et RR.2020.133 du 14 décembre 2020 consid. 3.3). Tel est notamment le cas lorsqu'on est en présence de transactions dénuées de justification apparente ou d'utilisation de nombreuses sociétés réparties dans plusieurs pays (arrêt du Tribunal pénal fédéral RR. 2008.69-72 du 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w:t>
      </w:r>
    </w:p>
    <w:p>
      <w:r>
        <w:rPr>
          <w:b/>
        </w:rPr>
        <w:t>E. 3.4</w:t>
      </w:r>
    </w:p>
    <w:p>
      <w:r>
        <w:t>En l’espèce, la procédure ouverte dans l’Etat requérant l’est du fait du soupçon que les fonds employés pour acheter des biens immobiliers dans cet Etat, à hauteur de GBP 40 millions, proviennent, entre autres, d’infractions de blanchiment d’argent. Ces fonds à hauteur d’USD 105 millions, parvenus sur un compte de la recourante, à l’occasion d’une trentaine de versements effectués par plusieurs sociétés, auraient ensuite été transférés ensuite via d’autres comptes bancaires, détenus par d’autres sociétés, pour finalement être utilisés pour l’acquisition de biens dans l’Etat requérant par des sociétés créées dans le but de les détenir (v. supra Faits, let. A et consid. 2.2).</w:t>
      </w:r>
    </w:p>
    <w:p>
      <w:r>
        <w:rPr>
          <w:b/>
        </w:rPr>
        <w:t>E. 3.5</w:t>
      </w:r>
    </w:p>
    <w:p>
      <w:r>
        <w:t>L'utilisation de nombreuses sociétés, dont la recourante, réparties dans plusieurs pays (Gibraltar, Hong-Kong, Îles vierges britanniques), de comptes bancaires, dans plusieurs pays (Suisse, Chypre, Lettonie; act. 6.1) et l’importance des sommes entrant en ligne de compte (v. supra consid. 3.3.2), comme c’est le cas en l’espèce, constituent des indices suffisants permettant</w:t>
      </w:r>
    </w:p>
    <w:p>
      <w:r>
        <w:t>- 10 -</w:t>
      </w:r>
    </w:p>
    <w:p>
      <w:r>
        <w:t>de soupçonner, prima facie, des actes blanchiment d’argent (v. supra consid. 3.3.2) et d’accorder l’entraide (v. supra consid. 3.3.1). La condition de la double incrimination abstraite est ainsi réalisée, sans qu’il soit nécessaire d’examiner l’infraction de corruption, selon le droit suisse, laquelle n’est pas décisive pour l’octroi de l’entraide.</w:t>
      </w:r>
    </w:p>
    <w:p>
      <w:r>
        <w:rPr>
          <w:b/>
        </w:rPr>
        <w:t>E. 3.6</w:t>
      </w:r>
    </w:p>
    <w:p>
      <w:r>
        <w:t>La requête de suspension est, dès lors, rejetée. Il appartiendra, le cas échéant, à la recourante de se prévaloir du prononcé intervenu dans la procédure suisse précitée devant les autorités de l’Etat requérant.</w:t>
      </w:r>
    </w:p>
    <w:p>
      <w:r>
        <w:t>4. Au vu des considérations qui précèdent, le recours est rejeté.</w:t>
      </w:r>
    </w:p>
    <w:p>
      <w:r>
        <w:t>5. En règle générale, les frais de procédure comprenant l'émolument d'arrêt, les émoluments de chancellerie et les débours sont mis à la charge de la partie qui succombe (art. 63 al. 1 PA, applicable par renvoi de l'art. 39 LOAP). En tant que partie qui succombe, la recourante doit supporter les frais du présent arrêt, lesquels sont fixés à CHF 5’000.-- (v. art. 73 al. 2 LOAP, art. 8 al. 3 let. b du règlement du Tribunal pénal fédéral sur les frais, émoluments, dépens, et indemnités de la procédure pénale fédérale [RFPPF; RS 173.713.162] et art. 63 al. 5 PA), montant couvert par l’avance de frais déjà versée.</w:t>
      </w:r>
    </w:p>
    <w:p>
      <w:r>
        <w:t>- 11 -</w:t>
      </w:r>
    </w:p>
    <w:p>
      <w:r>
        <w:rPr>
          <w:b/>
        </w:rPr>
        <w:t>E. 8</w:t>
      </w:r>
    </w:p>
    <w:p>
      <w:r>
        <w:t>novembre 2001 à la Convention européenne d'entraide judiciaire en matière pénale (RS 0.351.12) précise en son alinéa 1 que « [l]a Partie requise peut surseoir à la satisfaction d'une demande si le fait de donner suite à celle-ci risque d'avoir une incidence négative sur une enquête, des poursuites ou toute autre procédure connexe menée par ses autorités ». Tel n'est cependant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