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RR.2022.146 vom 24. August 2022</w:t>
      </w:r>
    </w:p>
    <w:p>
      <w:r>
        <w:t>Bundesstrafgericht, 2022-08-24, IT</w:t>
      </w:r>
    </w:p>
    <w:p>
      <w:r>
        <w:rPr>
          <w:b/>
        </w:rPr>
        <w:t xml:space="preserve">Quelle: </w:t>
      </w:r>
      <w:r>
        <w:t>https://mcp.opencaselaw.ch/entscheid/bstger_RR.2022.146</w:t>
      </w:r>
    </w:p>
    <w:p>
      <w:r>
        <w:t>FR: TPF RR.2022.146 du 24 août 2022</w:t>
      </w:r>
    </w:p>
    <w:p>
      <w:r>
        <w:t>IT: TPF RR.2022.146 del 24 agosto 2022</w:t>
      </w:r>
    </w:p>
    <w:p>
      <w:pPr>
        <w:pStyle w:val="Heading2"/>
      </w:pPr>
      <w:r>
        <w:t>Regeste</w:t>
      </w:r>
    </w:p>
    <w:p>
      <w:r>
        <w:t>Assistenza giudiziaria internazionale in materia penale all'Italia; sequestro di valori (art. 80e cpv. 2 lett. 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w:t>
      </w:r>
    </w:p>
    <w:p>
      <w:r>
        <w:t>- 4 -</w:t>
      </w:r>
    </w:p>
    <w:p>
      <w:r>
        <w:t>il prevalente diritto internazionale contenuto in detti trattati non regola espres- samente o implicitamente, come pure quando il diritto nazionale sia più favore- vole all'assistenza rispetto a quello pattizio (cosiddetto principio di favore), si applicano la legge sull'assistenza in materia penale, unitamente alla relativa or- dinanza (OAIMP; RS 351.11; v. art. 1 cpv. 1 AIMP, art. I n. 2 Accordo italo- svizzero; DTF 142 IV 250 consid. 3; 140 IV 123 consid. 2; 137 IV 33 consid. 2.2.2; 136 IV 82 consid. 3.1). Il principio di favore vale anche nell'appli- 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Il ricorso è stato tempestivamente interposto contro una decisione di sequestro di valori patrimoniali da parte dell'autorità cantonale d'esecuzione (v. art. 80k AIMP). Le decisioni incidentali anteriori alla decisione di chiusura possono es- sere impugnate separatamente se causano un pregiudizio immediato e irrepa- rabile mediante il sequestro di beni e valori oppure la presenza di persone che partecipano al processo (art. 80e cpv. 2 AIMP). Proprietaria dei valori patrimo- niali oggetto della decisione impugnata, la ricorrente è legittimata a ricorrere (v. art. 80h lett. b AIMP e art. 9a OAIMP; DTF 118 Ib 547 consid. 1d; TPF 2007 79 consid. 1.6 pag. 82).</w:t>
      </w:r>
    </w:p>
    <w:p>
      <w:r>
        <w:rPr>
          <w:b/>
        </w:rPr>
        <w:t>E. 2</w:t>
      </w:r>
    </w:p>
    <w:p>
      <w:r>
        <w:t>La ricorrente afferma che il contestato sequestro avrebbe un impatto sui negozi giuridici in corso e futuri della banca, andando a diminuire in maniera repentina il suo capitale sociale. Gli importi sequestrati verrebbero sottratti ai fondi propri di base di qualità primaria ex art. 18 cpv. 2 dell’ordinanza sui fondi propri e sulla ripartizione dei rischi delle banche e delle società di intermediazione mobiliare (in seguito: OFoP) del 1° giugno 2012 (detti “CET 1”). Ciò equivarrebbe a se- questrare il Z.% dei CET 1 della ricorrente – si passerebbe da fr. Y. milioni a fr. X. milioni –, con la conseguenza che la percentuale dei CET 1 per rapporto agli impegni di credito da lei assunti non sarebbe più rispettato. Il superamento dei limiti di esposizione per rapporto ai fondi propri CET 1 implicherebbe un obbligo di annuncio alla FINMA e alla propria società di audit. La FINMA do- vrebbe quindi immediatamente verificare la situazione e decidere quali misure intraprendere fra quelle prevista dalla legge, le quali potrebbero danneggiare le attività economiche in corso e future della ricorrente, segnatamente la gestione dei crediti e degli investimenti attuali e a venire della banca. Quanto precede</w:t>
      </w:r>
    </w:p>
    <w:p>
      <w:r>
        <w:t>- 5 -</w:t>
      </w:r>
    </w:p>
    <w:p>
      <w:r>
        <w:t>indicherebbe in modo lineare e inopinabile che il sequestro contestato compor- terebbe un danno giuridico, fattuale ed economico per la ricorrente. Per dimo- strare tale danno, la ricorrente sarebbe stata costretta a produrre documenta- zione che, se pur anonimizzata, conterrebbe dati e informazioni relativi ai rap- porti della banca con i clienti e alla sua attività commerciale. Essa chiede che tali documenti non vengano divulgati o comunicati né alle parti private della pro- cedura rogatoriale né all’autorità rogante né a terzi, a protezione dei segreti bancario e commerciale. La ricorrente sostiene inoltre che la domanda di assi- stenza sarebbe irricevibile, data l’assenza di una base legale della misura coer- citiva ordinata e del reato di appropriazione indebita come reato preliminare al reato di riciclaggio, così come mancherebbe l’esame della doppia punibilità per il reato fiscale preliminare. Essa censura infine la violazione del principio della proporzionalità.</w:t>
      </w:r>
    </w:p>
    <w:p>
      <w:r>
        <w:rPr>
          <w:b/>
        </w:rPr>
        <w:t>E. 2.1</w:t>
      </w:r>
    </w:p>
    <w:p>
      <w:r>
        <w:t>In base alla giurisprudenza, nel caso di ricorsi rivolti contro decisioni incidentali ai sensi dell’art. 80e cpv. 2 AIMP (v. supra consid. 1.5),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2.2</w:t>
      </w:r>
    </w:p>
    <w:p>
      <w:r>
        <w:t>In concreto, la ricorrente ha prodotto due documenti contenenti informazioni le- gate alla sua situazione finanziaria. Il primo consiste in una lettera dell’8 agosto 2022 intitolata “Reporting Large Exposure au 05.08.2022 et Loan Agreement SSLA”, con la quale la ricorrente trasmette alla sua patrocinatrice tre documenti, ossia: due intitolati “Large Exposure Reporting (LER), 5 août 2022”, uno te- nendo conto di fondi propri per fr. Y. e l’altro con fondi propri per fr. X. e uno intitolato “Loan agreement”, del 4 agosto 2022, riguardante la ricorrente e una terza persona (v. act. 1.5). Il secondo documento è una tabella intitolata “Re- calculation Large Exposure (in CHF as per 04.08.2022)” (act. 1.6). Gli altri do- cumenti prodotti sono atti della procedura rogatoriale nonché decisioni e giuri- sprudenza italiane.</w:t>
      </w:r>
    </w:p>
    <w:p>
      <w:r>
        <w:t>- 6 -</w:t>
      </w:r>
    </w:p>
    <w:p>
      <w:r>
        <w:t>Ora, preso atto del contenuto dei documenti allegati, i quali contengono parziali informazioni finanziarie riguardanti la ricorrente, si constata che essi sono privi della necessaria documentazione contabile o fiscale che possa permettere a questa Corte di verificare in maniera completa ed esaustiva le cifre esposte e di determinare quindi in maniera precisa la situazione economica della stessa. Agli atti non vi sono nemmeno documenti redatti dalla FINMA, alla quale la de- cisione impugnata è stata trasmessa (v. act. 1.2, pag. 5), che permettano a questo stadio di sostanziare, alla luce dell’OFoP, le criticità a cui la ricorrente sarebbe esposta nell’immediato sotto il profilo della vigilanza sulle attività finan- ziarie. Quanto precede non permette in definitiva a questa Corte di valutare se esiste o meno un pregiudizio immediato e irreparabile ai sensi della giurispru- denza sopraccitata, ribadito che il relativo onere di allegazione e documenta- zione è in capo alla ricorrente.</w:t>
      </w:r>
    </w:p>
    <w:p>
      <w:r>
        <w:rPr>
          <w:b/>
        </w:rPr>
        <w:t>E. 2.3</w:t>
      </w:r>
    </w:p>
    <w:p>
      <w:r>
        <w:t>Ciò detto, si rileva che le ulteriori censure presentate dalla ricorrente avverso il contestato sequestro risultano premature, precisato che le stesse non permet- tono in ogni caso di concludere che la rogatoria è manifestamente inammissibile (v. DTF 121 II 241 consid. 3; sentenza del Tribunale federale 1A.258/2006 del 16 febbraio 2007 consid. 2.3).</w:t>
      </w:r>
    </w:p>
    <w:p>
      <w:r>
        <w:rPr>
          <w:b/>
        </w:rPr>
        <w:t>E. 2.4</w:t>
      </w:r>
    </w:p>
    <w:p>
      <w:r>
        <w:t>Da quanto sopra discende che il ricorso è inammissibile per la mancata dimo- strazione dell’esistenza di un pregiudizio immediato e irreparabile giusta l'art. 80e cpv. 2 lett. a AIMP.</w:t>
      </w:r>
    </w:p>
    <w:p>
      <w:r>
        <w:rPr>
          <w:b/>
        </w:rPr>
        <w:t>E. 2.5</w:t>
      </w:r>
    </w:p>
    <w:p>
      <w:r>
        <w:t>In applicazione dell’art. 57 cpv. 1 PA e contrario, non è stato ordinato uno scam- bio di scritti, motivo per cui la richiesta “di non consentire l’accesso delle altre parti private della procedura, dell’autorità rogante o di terzi agli allegati del ri- corso relativi alla prova del pregiudizio immediato ed irreparabile” (punto 2 del petitum “In via preliminare”) è priva d’oggetto. Dopo la crescita in giudicato della presente sentenza gli allegati in questione verranno restituiti alla ricorrente.</w:t>
      </w:r>
    </w:p>
    <w:p>
      <w:r>
        <w:rPr>
          <w:b/>
        </w:rPr>
        <w:t>E. 3</w:t>
      </w:r>
    </w:p>
    <w:p>
      <w:r>
        <w:t>Visto l'esito del gravame, la domanda di effetto sospensivo è divenuta priva d'oggetto.</w:t>
      </w:r>
    </w:p>
    <w:p>
      <w:r>
        <w:rPr>
          <w:b/>
        </w:rPr>
        <w:t>E. 4</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fr. 4'000.– a carico della ricorrente; essa è coperta dall’anticipo delle spese di</w:t>
      </w:r>
    </w:p>
    <w:p>
      <w:r>
        <w:t>- 7 -</w:t>
      </w:r>
    </w:p>
    <w:p>
      <w:r>
        <w:t>fr. 6'000.– già versato. La Cassa del Tribunale restituirà alla ricorrente il saldo di fr.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