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RR.2022.137 vom 10. November 2022</w:t>
      </w:r>
    </w:p>
    <w:p>
      <w:r>
        <w:t>Bundesstrafgericht, 2022-11-10, IT</w:t>
      </w:r>
    </w:p>
    <w:p>
      <w:r>
        <w:rPr>
          <w:b/>
        </w:rPr>
        <w:t xml:space="preserve">Quelle: </w:t>
      </w:r>
      <w:r>
        <w:t>https://mcp.opencaselaw.ch/entscheid/bstger_RR.2022.137</w:t>
      </w:r>
    </w:p>
    <w:p>
      <w:r>
        <w:t>FR: TPF RR.2022.137 du 10 novembre 2022</w:t>
      </w:r>
    </w:p>
    <w:p>
      <w:r>
        <w:t>IT: TPF RR.2022.137 del 10 novembre 2022</w:t>
      </w:r>
    </w:p>
    <w:p>
      <w:pPr>
        <w:pStyle w:val="Heading2"/>
      </w:pPr>
      <w:r>
        <w:t>Regeste</w:t>
      </w:r>
    </w:p>
    <w:p>
      <w:r>
        <w:t>Assistenza giudiziaria internazionale in materia penale alla Polonia;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Polonia e la Confede- razione Svizzera sono anzitutto retti dalla Convenzione europea di assistenza giudiziaria in materia penale del 20 aprile 1959, entrata in vigore il 17 giugno 1996 per la Polonia e il 20 marzo 1967 per la Svizzera (CEAG; RS 0.351.1), dal Secondo Protocollo addizionale alla CEAG dell’8 novembre 2001, entrato in vi- gore il 1° febbraio 2004 per la Polonia e il 1° febbraio 2005 per la Svizzera (RS 0.351.12), nonché dagli art. 48 e segg. della Convenzione di applicazione dell'Accordo di Schengen del 14 giugno 1985 (CAS; n. CELEX 42000A0922(02); L 239 del 22 settembre 2000, pag. 19–62; non pubblicata nella RS ma consultabile sulla piattaforma di pubblicazione Internet della Con- federazione alla voce “Raccolta dei testi giuridici riguardanti gli accordi bilate- rali”, 8.1 Allegato A; https://www.fedlex.admin.ch/it/sector-specific-agree-</w:t>
      </w:r>
    </w:p>
    <w:p>
      <w:r>
        <w:t>- 4 -</w:t>
      </w:r>
    </w:p>
    <w:p>
      <w:r>
        <w:t>ments/EU-acts-register/8/8.1). Di rilievo nella fattispecie è anche la Conven- zione sul riciclaggio, la ricerca, il sequestro e la confisca dei proventi di reato, conclusa a Strasburgo l’8 novembre 1990, entrata in vigore il 1° settembre 1993 per la Svizzera ed il 1° aprile 2001 per la Polonia (CRic; RS 0.311.53), l'art. 46 della Convenzione delle Nazioni Unite contro la corruzione (in seguito: UNCAC), conclusa il 31 ottobre 2003, entrata in vigore per la Polonia il 15 otto- bre 2006 e per la Svizzera il 24 ottobre 2009 (RS 0.311.56), richiamati gli art. 14 e 23 relativi al riciclaggio in generale, nonché l'Accordo di cooperazione fra la Confederazione Svizzera, da un lato, e la Comunità europea e i suoi Stati mem- bri dall'altro, per lottare contro la frode e ogni altra attività illecita che leda i loro interessi, concluso il 26 ottobre 2004 (AAF; RS 0.351.926.81).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DTF 145 IV 294 con- sid. 2.1; 142 IV 250 consid. 3; 140 IV 123 consid. 2; 137 IV 33 consid. 2.2.2; 136 IV 82 consid. 3.1). Il principio di favore vale anche nell'applicazione delle pertinenti norme di diritto internazionale (v. art. 48 n. 2 CAS; art. 25 n. 2 AAF).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t>- 5 -</w:t>
      </w:r>
    </w:p>
    <w:p>
      <w:r>
        <w:rPr>
          <w:b/>
        </w:rPr>
        <w:t>E. 2</w:t>
      </w:r>
    </w:p>
    <w:p>
      <w:r>
        <w:t>La ricorrente sostiene che l’esposto fattuale della rogatoria non sarebbe con- forme alle disposizioni applicabili in materia in quanto carente e generico, so- prattutto per quanto riguarda i reati contestati agli indagati nonché il legame tra la ricorrente stessa e il procedimento estero.</w:t>
      </w:r>
    </w:p>
    <w:p>
      <w:r>
        <w:rPr>
          <w:b/>
        </w:rPr>
        <w:t>E. 2.1</w:t>
      </w:r>
    </w:p>
    <w:p>
      <w:r>
        <w:t>Per quanto attiene alla domanda di assistenza, gli art. 14 CEAG, 27 n. 1 CRic, 46 par. 15 UNCAC e 28 AIMP esigono in sostanza che essa sia scritta, che indichi l'ufficio da cui emana e all'occorrenza l'autorità competente per il proce- dimento penale, il suo oggetto, il motivo, la qualificazione giuridica del reato, i dati, il più possibile precisi e completi, della persona contro cui è diretto il pro- cedimento penale, presentando altresì un breve esposto dei fatti essenziali, al fine di permettere allo Stato rogato di verificare che non sussistano condizioni ostative all'assistenza (DTF 129 II 97 consid. 3; 118 Ib 111 consid. 5b pag. 121, 547 consid. 3a; 117 Ib 64 consid. 5c; TPF 2021 60 consid. 3.1; 2015 110 consid. 5.2.1). Ciò non implica per lo Stato richiedente l'obbligo di provare la commis- 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 manda, fatti salvi gli errori, le lacune o altre contraddizioni evidenti ed immedia- tamente rilevati (DTF 142 IV 250 consid. 6.3; 136 IV 4 consid. 4.1; 133 IV 76 consid. 2.2; 132 II 81 consid. 2.1; 118 Ib 111 consid. 5b pag. 121 e seg; TPF 2011 194 consid. 2.1.).</w:t>
      </w:r>
    </w:p>
    <w:p>
      <w:r>
        <w:rPr>
          <w:b/>
        </w:rPr>
        <w:t>E. 2.2</w:t>
      </w:r>
    </w:p>
    <w:p>
      <w:r>
        <w:t>Nella fattispecie, l’UDSC, traducendo e riassumendo la rogatoria redatta in lin- gua tedesca, ha affermato che «il sistema della frode si articolerebbe su un gruppo di società a garanzia limitata tra le quali spiccano E., F., G., H., I., società gestite dagli indagati. L’inchiesta ha permesso di stabilire che tra i fornitori della I. vi era la ditta J. Ltd con sede in Inghilterra. Le prove raccolte permettevano di stabilire che in data 30 ottobre 2015 la J. Ltd aveva firmato l’accordo nr. 33 1020 1026 0000 1596 0092 5909 per la fornitura di una garanzia bancaria nel com- mercio internazionale per un importo di 10'000’000 PLN con la banca “K.” con sede a Varsavia. Secondo tale accordo questa fideiussione era a garanzia dei rischi derivanti dall’attività commerciale nelle vendite internazionali di combusti- bili liquidi, compresi gli interessi di mora. Al fine di garantire i crediti della Banca a garanzia della fideiussione in questione è stato siglato il giorno stesso un ac- cordo sul trasferimento di denaro sul conto di -banca K.- da parte di A. SA con sede a Lugano, Via Z., 6900 Lugano, Svizzera. Secondo questo accordo la A. SA ha versato sul conto della banca K. n. 3 risorse finanziarie pari a PLN 10.000.000,00 per il periodo fino al regolamento completo del credito garantito derivante dall’accordo per la concessione di una fideiussione bancaria per J. LTD. Inoltre nel contratto stipulato veniva concordato che, allo scadere della</w:t>
      </w:r>
    </w:p>
    <w:p>
      <w:r>
        <w:t>- 6 -</w:t>
      </w:r>
    </w:p>
    <w:p>
      <w:r>
        <w:t>garanzia, qualora questa non fosse stata utilizzata, le risorse finanziarie così come gli eventuali interessi dovuti fossero da rimettere alla A. SA sul conto nu- mero 1 a loro intestato presso la banca D. - Vìale Y. - 6901 Lugano 4. Allo stato attuale delle indagini si presenta così il fondato sospetto che la somma versata dalla A. SA quale garanzia, sia frutto del reato contestato, vale a dire l’otteni- mento di un illecito profitto costituito dall’imposta sul valore aggiunto (IVA) frau- dolentemente sottratta dall’organizzazione criminale contro la quale si è aperta l’indagine» (act. 7.5, pag. 2).</w:t>
      </w:r>
    </w:p>
    <w:p>
      <w:r>
        <w:t>L’esposto dei fatti, così come correttamente riportato nella decisione impugnata, soddisfa le esigenze normative e giurisprudenziali poste in materia. Sufficiente- mente chiari risultano essere inoltre sia la qualifica giuridica dei fatti, sia il motivo che ha indotto l’autorità rogante a chiedere di ottenere la documentazione liti- giosa, legato al trasferimento di denaro effettuato dalla ricorrente a titolo di ga- ranzia su cui grava il sospetto di essere frutto dell’illecito profitto sopradescritto. Per il resto, non spetta al giudice dell'assistenza approfondire ulteriormente la fattispecie oggetto d'inchiesta, tantomeno ottenere le prove dei contestati reati. Sarà proprio la documentazione litigiosa a permettere all'autorità estera di pro- gredire nella sua attività investigativa e di acclarare ulteriormente le condotte mosse a carico dei soggetti indagati. Le censure in questo ambito vanno dun- que respinte.</w:t>
      </w:r>
    </w:p>
    <w:p>
      <w:r>
        <w:rPr>
          <w:b/>
        </w:rPr>
        <w:t>E. 3</w:t>
      </w:r>
    </w:p>
    <w:p>
      <w:r>
        <w:t>La ricorrente censura la violazione del principio della proporzionalità, nella mi- sura in cui essa non avrebbe nulla a che vedere con la presunta evasione in materia d’imposta sul valore aggiunto. A suo dire, l’importo di PLN 10'000'000.– sarebbe stato versato sulla base di un contratto del tutto lecito, di modo che la documentazione bancaria che l’UDSC intende trasmettere alle autorità polac- che sarebbe completamente estranea, come lo sarebbe la ricorrente stessa, ai fatti oggetto dell’inchiesta estera. Essa conterrebbe informazioni sensibili e con- fidenziali nonché segreti commerciali, per cui un loro inoltro causerebbe una lesione degli interessi della ricorrente e dei suoi partner commerciali. La roga- toria rappresenterebbe finanche una ricerca indiscriminata di prove. Tutta la do- cumentazione non compresa nel periodo 2012-2016 non andrebbe in ogni caso trasmessa alle autorità polacche.</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w:t>
      </w:r>
    </w:p>
    <w:p>
      <w:r>
        <w:t>- 7 -</w:t>
      </w:r>
    </w:p>
    <w:p>
      <w:r>
        <w:t>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142 II 161 consid. 2.1.2; 134 II 318 consid. 6.4; 126 II 258 consid. 9c; 122 II 367 consid. 2c; 121 II 241</w:t>
      </w:r>
    </w:p>
    <w:p>
      <w:r>
        <w:t>- 8 -</w:t>
      </w:r>
    </w:p>
    <w:p>
      <w:r>
        <w:t>consid. 3a e b; TPF 2010 73 consid. 7.1). Il principio dell’utilità potenziale ha un ruolo cruciale nell'ambito dell'assistenza in materia penale. Lo scopo di tale coo- 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internationale en matière pénale, 5a ediz. 2019, n. 723,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l'utilità potenziale della documentazione litigiosa non può es- sere esclusa. L’autorità rogante ha infatti individuato un versamento effettuato dalla ricorrente di PLN 10'000'000.– sul conto n. 3 intestato alla banca K., quest’ultima, unitamente a J. Ltd (ditta fornitrice di I.), coinvolta nei fatti oggetto d’indagine (v. supra consid. 2.2). Le autorità estere devono poter accedere a tutta la documentazione riguardante il conto della ricorrente, al fine di verificare l’esistenza di eventuali ulteriori legami finanziari con le soggettività toccate dall’inchiesta. Dopo una prima cernita l’autorità d’esecuzione ha già del resto giustamente escluso i documenti relativi al conto corrente in valuta CHF n. 1 così come quelli riguardanti il conto corrente in valuta USD n. 1 “Macchinario Argentina”, ma per il resto l’utilità potenziale non può essere esclusa data la natura dei reati in esame. Contrariamente a quanto sostenuto nel gravame, l'in- teresse alla “privacy” delle persone toccate dalla misura chiaramente non può prevalere, nelle descritte circostanze, sulle necessità di indagine e sull'obbligo della Svizzera di accordare l'assistenza più ampia possibile (art. 1 cpv. 1 CEAG; art. 7 n. 1 CRic; art. 46 par. 1 UNCAC; sentenza del Tribunale federale 1A.182/2006 del 9 agosto 2007 consid. 3.3). Il diritto alla riservatezza del cliente non prevale manifestamente sugli interessi del procedimento penale, per cui il principio della proporzionalità non è stato disatteso neppure da questo punto di vista. Non è altresì possibile restringere la documentazione al periodo 2012- 2016 perché questo significherebbe privare a priori le autorità estere di poten- ziale materiale probatorio atto ad acclarare i fatti in una prospettiva temporale sufficientemente ampia, ovviamente sia a carico che a discarico.</w:t>
      </w:r>
    </w:p>
    <w:p>
      <w:r>
        <w:t>- 9 -</w:t>
      </w:r>
    </w:p>
    <w:p>
      <w:r>
        <w:rPr>
          <w:b/>
        </w:rPr>
        <w:t>E. 3.3</w:t>
      </w:r>
    </w:p>
    <w:p>
      <w:r>
        <w:t>Per quanto concerne l'invocata estraneità ai fatti oggetto del procedimento po- lacco, l'assunto ricorsuale è privo di pertinenza in ambito di assistenza giudizia- ria internazionale. L’insorgente disattende infatti che l'eventuale qualità di per- 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 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modifica dell'AIMP del 4 otto- bre 1996. Comunque, anche secondo il vecchio diritto, i titolari di conti bancari usati, anche a loro insaputa, per operazioni sospette non potevano prevalersi di quella disposizione (DTF 120 Ib 251 consid. 5b; 112 Ib 576 consid. 13d).</w:t>
      </w:r>
    </w:p>
    <w:p>
      <w:r>
        <w:rPr>
          <w:b/>
        </w:rPr>
        <w:t>E. 3.4.1</w:t>
      </w:r>
    </w:p>
    <w:p>
      <w:r>
        <w:t>La rivelazione di segreti commerciali non costituisce un impedimento assoluto all'esecuzione di misure rogatoriali e alla concessione di assistenza giudiziaria (v. art. 248 cpv. 1 CPP in relazione con art. 9 AIMP; KELLER, Commentario zu- righese, 3a ediz. 2020, n. 23 e seg. ad art. 248 CPP; v. anche GSTÖHL, Ge- heimnisschutz im Verfahren der internationalen Rechtshilfe in Strafsachen, 2008, pag. 318). In caso di obbligo di testimoniare e di edizione, prevale di re- gola l'obbligo d'informare, dato che il segreto commerciale non costituisce un motivo per non deporre o per opporsi ad un ordine di edizione (v. GSTÖHL, op. cit., pag. 80). Per opporsi validamente ad una richiesta estera è necessario in tal senso rendere verosimile il motivo per cui il segreto in questione dovrebbe prevalere sulle esigenze del procedimento penale (v. GLUTZ, Commentario ba- silese, 2015, n. 8 ad art. 9 AIMP).</w:t>
      </w:r>
    </w:p>
    <w:p>
      <w:r>
        <w:rPr>
          <w:b/>
        </w:rPr>
        <w:t>E. 3.4.2</w:t>
      </w:r>
    </w:p>
    <w:p>
      <w:r>
        <w:t>Nel ricorso non vengono per nulla spiegate e sostanziate le ragioni per cui, nel caso concreto, la protezione degli interessi commerciali della società ricorrente o di terzi prevarrebbe su quella degli interessi istruttori delle autorità di perse- guimento penale estere, i quali sono di regola preponderanti; ragioni che nep- pure gli atti dell'incarto permettono del resto di evidenziare. Le affermazioni della ricorrente in tale ambito, prive di qualsiasi riferimento a situazioni specifi- che, puntuali e concrete, non permettono dunque di rifiutare l'assistenza a causa dell'invocata tutela del segreto degli affari. Saranno le autorità polacche ad adottare eventuali misure supplementari in tal senso, qualora nel procedi- mento all'estero dovessero essere presentate richieste simili, e non vi è nes- suna ragione per ritenere che esse non verrebbero dovutamente prese in esame a salvaguardia dei legittimi interessi delle parti.</w:t>
      </w:r>
    </w:p>
    <w:p>
      <w:r>
        <w:t>- 10 -</w:t>
      </w:r>
    </w:p>
    <w:p>
      <w:r>
        <w:rPr>
          <w:b/>
        </w:rPr>
        <w:t>E. 3.5</w:t>
      </w:r>
    </w:p>
    <w:p>
      <w:r>
        <w:t>Per il resto, spetterà al giudice estero del merito chinarsi sulle contestazioni dei fatti e/o reati formulate dalla ricorrente nonché valutare se dalla documenta- zione inoltrata emerge in concreto una connessione penalmente rilevante fra i fatti oggetto della procedura penale in Polonia e detta documentazione. Alla luce della domanda rogatoriale risulta che tutta la documentazione litigiosa è potenzialmente utile per l’inchiesta, motivo per cui la sua trasmissione rispetta il principio della proporzionalità e non costituisce una ricerca esplorativa e indi- scriminata di prove.</w:t>
      </w:r>
    </w:p>
    <w:p>
      <w:r>
        <w:rPr>
          <w:b/>
        </w:rPr>
        <w:t>E. 4</w:t>
      </w:r>
    </w:p>
    <w:p>
      <w:r>
        <w:t>In conclusione, il ricorso va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