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RR.2022.112 vom 1. September 2022</w:t>
      </w:r>
    </w:p>
    <w:p>
      <w:r>
        <w:t>Bundesstrafgericht, 2022-09-01, IT</w:t>
      </w:r>
    </w:p>
    <w:p>
      <w:r>
        <w:rPr>
          <w:b/>
        </w:rPr>
        <w:t xml:space="preserve">Quelle: </w:t>
      </w:r>
      <w:r>
        <w:t>https://mcp.opencaselaw.ch/entscheid/bstger_RR.2022.112</w:t>
      </w:r>
    </w:p>
    <w:p>
      <w:r>
        <w:t>FR: TPF RR.2022.112 du 1 septembre 2022</w:t>
      </w:r>
    </w:p>
    <w:p>
      <w:r>
        <w:t>IT: TPF RR.2022.112 del 1 settembre 2022</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bilaterali”, 8.1 Allegato A).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 samente o implicitamente, come pure quando il diritto nazionale sia più favore- vole all'assistenza rispetto a quello pattizio (cosiddetto principio di favore), si applica la legge sull'assistenza in materia penale, unitamente alla relativa ordi-</w:t>
      </w:r>
    </w:p>
    <w:p>
      <w:r>
        <w:t>- 4 -</w:t>
      </w:r>
    </w:p>
    <w:p>
      <w:r>
        <w:t>nanza (OAIMP; RS 351.11; v. art. 1 cpv. 1 AIMP, art. I n. 2 Accordo italo-sviz- zero; DTF 145 IV 294 consid. 2.1; 142 IV 250 consid. 3; 140 IV 123 consid. 2; 137 IV 33 consid. 2.2.2; 136 IV 82 consid. 3.1). Il principio di favore vale anche nell'applicazione delle pertinenti norme di diritto internazionale (v. art. 48 n. 2 CAS, art. I n. 2 Accordo italo-svizzero). È fatto salvo il rispetto dei diritti fonda- mentali (DTF 145 IV 294 consid. 2.1; 135 IV 212 consid. 2.3; 123 II 595 con- 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chiusura, il ri- corso è ricevibile sotto il profilo degli art. 25 cpv. 1, 80e cpv. 1 e 80k AIMP. Titolare della relazione bancaria di cui al punto 2 lett. w del dispositivo della decisione impugnata, il ricorrente è legittimato a ricorrere per detta relazione (v. art. 80h lett. b AIMP e art. 9a lett. a OAIMP nonché DTF 137 IV 134 consid. 5.2.1; 130 II 162 consid. 1.1; 128 II 211 consid. 2.3; TPF 2007 79 consid. 1.6 pag. 82). La legittimazione non è invece data per le altre relazioni bancarie og- getto della decisione impugnata, né per la segnalazione MROS del 18 marzo 2022, dato che non concerne la relazione del ricorrente (v. sentenza del Tribu- nale penale federale RR.2021.105 del 24 agosto 2021 consid. 1.5.2-1.5.3).</w:t>
      </w:r>
    </w:p>
    <w:p>
      <w:r>
        <w:rPr>
          <w:b/>
        </w:rPr>
        <w:t>E. 2</w:t>
      </w:r>
    </w:p>
    <w:p>
      <w:r>
        <w:t>Il ricorrente sostiene che la rogatoria sarebbe carente sia dal punto di vista for- male che sostanziale. Con riferimento ai reati fiscali, egli censura l’assenza di un esposto dei fatti più rigoroso.</w:t>
      </w:r>
    </w:p>
    <w:p>
      <w:r>
        <w:rPr>
          <w:b/>
        </w:rPr>
        <w:t>E. 2.1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w:t>
      </w:r>
    </w:p>
    <w:p>
      <w:r>
        <w:t>- 5 -</w:t>
      </w:r>
    </w:p>
    <w:p>
      <w:r>
        <w:t>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 rale RR.2017.92 del 18 luglio 2017 consid. 2.2). L'autorità rogata non si scosta 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rPr>
          <w:b/>
        </w:rPr>
        <w:t>E. 2.2</w:t>
      </w:r>
    </w:p>
    <w:p>
      <w:r>
        <w:t>Nella fattispecie, l’autorità rogante ha affermato che la domanda di assistenza del 21 dicembre 2021 “costituisce un ulteriore sviluppo delle indagini concer- nente E., già condannato in via definitiva per alcuni episodi di riciclaggio. In tale contesto questo Ufficio sta procedendo a indagini per il reato di riciclaggio (art. 648 bis c.p.) a carico di B. e per il reato di autoriciclaggio (art. 648 bis c.p.) a carico di C. e D.” (atto 1, pag. 1, incarto MP-TI). Ora, dalle indagini sino ad ora svolte, nel meccanismo di riciclaggio evocato è emerso il coinvolgimento della J. SA, società riconducibile ad E., la quale avrebbe effettuato numerosi paga- menti in favore di persone fisiche e giuridiche all’estero, in particolare della I. SA in Liechtenstein, di cui amministratore unico è B. Grazie all’analisi di materiale informatico sequestrato alla moglie di E., F., l’autorità italiana ritiene che I. SA sia stata utilizzata da E. per monetizzare somme di denaro transitate da J. SA. Più precisamente, “in tali files la F. annotava le movimentazioni in entrata ed in uscita dai conti correnti della società J. SA, nonché le relative commissioni trat- tenute per la monetizzazione delle somme restituite ai clienti. Dall’analisi dei citati files, si ha motivo di ritenere che la I. SA sia stata utilizzata dal E. per monetizzare le somme di denaro transitate da J. SA e relative ad un flusso di fatturazione operato dalla società austriaca K. GmbH […] verso la società L. Spa. È stato infatti accertato che il rappresentante legale della società, A., avrebbe ricevuto l’integrale retrocessione in contanti ad opera di E. delle somme, pagate dalla L. Spa alla K. GmbH” (atto 1, pag. 3, incarto MP-TI). Nella loro rogatoria di tredici pagine, le autorità italiane hanno elencato tutta una serie di operazioni, addebiti e accrediti, che hanno coinvolto persone fisiche e giuri- diche toccate dalle indagini, le quali avrebbero per oggetto presunti atti di rici- claggio e autoriciclaggio di denaro proveniente dalla frode fiscale e da infrazioni all’IVA, quest’ultime commesse allestendo fatture false (v. atto 1, pag. 10 e seg., incarto MP-TI). I conti riconducibili a I. SA sarebbero stati utilizzati per opera- zioni di riciclaggio a favore di clienti italiani. In particolare, sul conto corrente IBAN n. 2 sono stati registrati accrediti per complessivi EUR 19'167'360.29 e addebiti per EUR 18'938'797.77. Tra quest’ultimi, vi sono addebiti, intervenuti tra il 13 luglio e il 10 settembre 2012, per un importo totale di EUR 393'050.– a favore del conto litigioso del ricorrente (v. ibidem, pag. 12).</w:t>
      </w:r>
    </w:p>
    <w:p>
      <w:r>
        <w:t>- 6 -</w:t>
      </w:r>
    </w:p>
    <w:p>
      <w:r>
        <w:t>Quanto precede soddisfa le esigenze normative e giurisprudenziali poste in ma- teria di esposto dei fatti. Sufficientemente chiaro risulta essere in ogni caso il motivo che ha indotto l’autorità rogante a chiedere di ottenere la documenta- zione litigiosa, legato ai bonifici di cui sopra. Per il resto, non spetta al giudice dell'assistenza approfondire ulteriormente la fattispecie oggetto d'inchiesta, tan- tomeno ottenere le prove dei contestati reati (per quanto concerne la fiscalità indiretta, v. infra consid. 3.1 in fine). Sarà proprio la documentazione litigiosa a permettere all'autorità estera di progredire nella sua attività investigativa e di acclarare ulteriormente le condotte mosse a carico dei soggetti indagati. Le cen- sure in questo ambito vanno dunque respinte.</w:t>
      </w:r>
    </w:p>
    <w:p>
      <w:r>
        <w:rPr>
          <w:b/>
        </w:rPr>
        <w:t>E. 3</w:t>
      </w:r>
    </w:p>
    <w:p>
      <w:r>
        <w:t>Il ricorrente afferma che la motivazione della rogatoria sarebbe insufficiente per ritenere adempiuto il principio della doppia punibilità. Più precisamente, la ro- gatoria non permetterebbe di verificare i requisiti posti dal diritto svizzero in am- bito di riciclaggio di denaro.</w:t>
      </w:r>
    </w:p>
    <w:p>
      <w:r>
        <w:rPr>
          <w:b/>
        </w:rPr>
        <w:t>E. 3.1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L'art. X n. 1 dell'Accordo italo-svizzero prevede a sua volta che l'assistenza giudiziaria con- 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estere menzionati nella domanda di assistenza,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 dizioni di punibilità da questo previste (DTF 124 II 184 consid. 4b/cc pag. 188; 118 Ib 543 consid. 3b/aa pag. 546; 116 Ib 89 consid. 3b/bb; 112 Ib 576 consid. 11b/bb pag. 594). I fatti incriminati non devono forzatamente essere caratteriz- zati, nelle due legislazioni toccate, dalla medesima qualificazione giuridica (DTF 124 II 184 consid. 4b/cc pag. 188). Diversamente dall'ambito estradizionale, le misure di cooperazione sono già ammesse se la condizione della doppia puni- bilità è ossequiata alla luce di una singola fattispecie (sentenza del Tribunale federale 1C_138/2007 del 17 luglio 2007 consid. 2.3 e rinvii).</w:t>
      </w:r>
    </w:p>
    <w:p>
      <w:r>
        <w:t>L'art. 2 lett. a CEAG permette di rifiutare l'assistenza giudiziaria quando la do- manda si riferisce a reati considerati dalla Parte richiesta come reati fiscali. Ciò è ribadito all'art. IV par. 2 Accordo italo-svizzero. Secondo l'art. 3 cpv. 3 AIMP,</w:t>
      </w:r>
    </w:p>
    <w:p>
      <w:r>
        <w:t>- 7 -</w:t>
      </w:r>
    </w:p>
    <w:p>
      <w:r>
        <w:t>la domanda è irricevibile se il procedimento verte su un reato che sembra volto a una decurtazione di tributi fiscali o viola disposizioni in materia di provvedi- menti di politica monetaria, commerciale o economica. Per contro, si può dar seguito a una domanda in ambito di "altra assistenza" se il procedimento verte su una truffa in materia fiscale. Quest'ultima deve essere interpretata sulla base dell'art. 14 cpv. 2 della legge federale sul diritto penale amministrativo (DPA; RS 313.0), disposizione applicabile in virtù del rinvio previsto all'art. 24 cpv. 1 OAIMP. Una truffa fiscale è realizzata se l'autore, mediante inganno astuto, fa sì che l'ente pubblico si trovi defraudato di una tassa, un contributo o un'altra prestazione o venga a essere altrimenti pregiudicato nei suoi interessi patrimo- niali (DTF 125 II 250 consid. 3a). La nozione d'inganno astuto corrisponde so- stanzialmente a quella in ambito di truffa ai sensi dell'art. 146 CP (DTF 126 IV 165 consid. 2a; TPF 2015 110 consid. 5.2.3 con rinvii). Per realizzare il reato di truffa fiscale non è indispensabile fare uso di documenti falsi o alterati, ma sono ipotizzabili anche altri metodi. Secondo la giurisprudenza, sono comunque in genere necessarie manovre fraudolente, una messa in scena o un edificio di menzogne, affinché si possa ritenere l’esistenza di un inganno astuto. In deter- minate circostanze anche false informazioni la cui verifica non è possibile, è difficile o non è ragionevolmente esigibile possono costituire un inganno astuto, come pure se il truffatore dissuade la vittima dall'effettuare una verifica o pre- vede, date le circostanze, che essa rinuncerà a farlo in virtù, segnatamente, di un particolare rapporto di fiducia (DTF 139 II 404 consid. 9.4; 137 IV 25 con- sid. 4.4.3.2 con rinvii; 135 IV 76 consid. 5.2; v. anche TPF 2008 128 con- sid. 5.4).</w:t>
      </w:r>
    </w:p>
    <w:p>
      <w:r>
        <w:t>Quando la domanda è presentata per il perseguimento di una truffa fiscale, la Svizzera, in qualità di Stato richiesto, deroga alla regola secondo la quale l'au- torità d'esecuzione non deve determinarsi sulla realtà dei fatti (DTF 118 Ib 111 consid. 5b). Pur senza dover fornire prove indiscutibili sulla colpevolezza della persona perseguita, lo Stato richiedente deve sostanziare l'esistenza di suffi- cienti sospetti circa la commissione di una truffa fiscale (DTF 125 II 250 con- sid. 5b; 118 Ib 111 consid. 5b). Tali particolari esigenze hanno come scopo quello di evitare che le norme ostative all'assistenza in materia economica e fiscale vengano raggirate (TPF 2007 150 consid. 3.2.4). Lo Stato richiedente non deve necessariamente allegare alla domanda i mezzi di prova. È sufficiente ch'esso li indichi e ne renda verosimile l'esistenza (v. sentenza del Tribunale federale 1A.183/1995 del 13 ottobre 1995 consid. 2d, citata da ZIMMERMANN, La coopération judiciaire internationale en matière pénale, 5a ediz. 2019, n. 645 nota 884 pag. 700). Ciò non vale tuttavia in ambito di fiscalità indiretta, dove la Svizzera si è impegnata a fornire reciprocamente assistenza giusta l’art. 50 cpv. 1 CAS per quanto concerne le accise, l’imposta sul valore aggiunto e le imposte doganali. Per tali imposte indirette l’art. 50 cpv. 1 CAS non fa infatti distinzioni di sorta fra sottrazione d'imposta e truffa fiscale. A tale riguardo, la distinzione</w:t>
      </w:r>
    </w:p>
    <w:p>
      <w:r>
        <w:t>- 8 -</w:t>
      </w:r>
    </w:p>
    <w:p>
      <w:r>
        <w:t>fra evasione e frode fiscale non costituisce dunque più una discriminante di ri- lievo (v. KOCHER, Commentario basilese, 2015, n. 121 e segg. ad art. 3 AIMP; UNSELD, Internationale Rechtshilfe im Steuerrecht: Akzessorische Rechtshilfe, Auslieferung und Vollstreckungshilfe bei Fiskaldelikten, 2011, pag. 135, 147 e seg.; sentenza del Tribunale penale federale RR.2010.262 dell’11 giugno 2012 consid. 1.2.2).</w:t>
      </w:r>
    </w:p>
    <w:p>
      <w:r>
        <w:rPr>
          <w:b/>
        </w:rPr>
        <w:t>E. 3.2</w:t>
      </w:r>
    </w:p>
    <w:p>
      <w:r>
        <w:t>Nella fattispecie, nella misura in cui il procedimento estero verte su reati legati all’utilizzo di fatture false finalizzate alla frode fiscale – si rileva a tal proposito che l’imputato D. “è stato deferito per il reato ex. Articolo 2 D. Lgs 74/2000 in qualità di rappresentante legale della M. Srl, per aver indicato nella dichiara- zione annuale ai fini IVA presentata per gli anni d’imposta 2006 e 2007, elementi passivi fittizi, avvalendosi di fatture soggettivamente inesistenti” (atto 1, pag. 10, incarto MP-TI) – e a operazioni di riciclaggio del relativo denaro movimentato (v. ibidem, pag. 10 e seg., nonché supra consid. 2.2), i fatti contestati agli inda- gati possono perlomeno essere sussunti ai reati di falsità in documenti (art. 251 CP) e truffa in materia fiscale (art. 14 cpv. 2 DPA), precisato trattarsi di fiscalità indiretta, per cui la condizione della doppia punibilità è ossequiata già solo per tale motivo. La censura va dunque disattesa.</w:t>
      </w:r>
    </w:p>
    <w:p>
      <w:r>
        <w:rPr>
          <w:b/>
        </w:rPr>
        <w:t>E. 4</w:t>
      </w:r>
    </w:p>
    <w:p>
      <w:r>
        <w:t>Dichiarandosi totalmente estraneo ai fatti oggetto d’indagine all’estero, l’insor- gente sostiene che la decisione impugnata violi i principi della proporzionalità e dell’utilità potenziale nonché il divieto della fishing expedition. La contestata tra- smissione avverrebbe in assenza di elementi concreti di sospetto che consen- tirebbero di ricollegare la documentazione litigiosa, concernente la sua sfera privata, ai fatti oggetto d’indagine all’estero.</w:t>
      </w:r>
    </w:p>
    <w:p>
      <w:r>
        <w:rPr>
          <w:b/>
        </w:rPr>
        <w:t>E. 4.1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all'apprezzamento delle autorità richiedenti (DTF 136 IV 82 consid. 4.1; sen- 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w:t>
      </w:r>
    </w:p>
    <w:p>
      <w:r>
        <w:t>- 9 -</w:t>
      </w:r>
    </w:p>
    <w:p>
      <w:r>
        <w:t>indagini (DTF 136 IV 82 consid. 4.1; 122 II 134 consid. 7b; 121 II 241 consid. 3a; sentenza del Tribunale penale federale RR.2017.21 dell'8 maggio 2017 con- 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(sen- tenza del Tribunale penale federale RR.2014.4 del 30 luglio 2014 consid. 2.2.2). Naturalmente è anche possibile che i conti in questione non siano stati utilizzati per ricevere proventi di reati o per effettuare trasferimenti illeciti, ma l’autorità richiedente ha comunque interesse a poterlo verificare essa stessa, sulla base di una documentazione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 sid. 4.2). La trasmissione dell'intera documentazione potrà evitare altresì che le autorità debbano inoltrare eventuali domande complementari (DTF 136 IV 82 consid. 4.1; 121 II 241 consid. 3; sentenza del Tribunale federale 1C_486/2008 dell'11 novembre 2008 consid. 2.4; sentenza del Tribunale penale federale RR.2011.113 del 28 luglio 2011 consid. 4.2), con evidente intralcio alle esi- genze di celerità (v. anche art. 17a cpv. 1 AIMP). 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w:t>
      </w:r>
    </w:p>
    <w:p>
      <w:r>
        <w:t>- 10 -</w:t>
      </w:r>
    </w:p>
    <w:p>
      <w:r>
        <w:t>federale RR.2010.173 del 13 ottobre 2010 consid. 4.2.4/a e RR.2009.320 del 2 febbraio 2010 consid. 4.1; ZIMMERMANN, op. cit., n. 723, pag. 798 e seg.). Vie- tata è per contro la cosiddetta fishing expedition, la quale è definita dalla giuri- sprudenza una ricerca generale e indeterminata di mezzi di prova volta a fon- dare un sospetto senza che esistano pregressi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4.2</w:t>
      </w:r>
    </w:p>
    <w:p>
      <w:r>
        <w:t>Nella fattispecie, l'utilità potenziale della documentazione litigiosa è certamente data. L’autorità rogante ha infatti individuato accrediti, avvenuti tra il 13 luglio e il 10 settembre 2012, per un totale di EUR 393'050.–, provenienti della relazione IBAN 2 intestata a I. SA, società implicata nei fatti oggetto d’indagine all’estero (v. atto 1, pag. 12, incarto MP-TI), a favore del conto litigioso del ricorrente. Le autorità estere devono poter accedere a tutta la documentazione riguardante il conto del ricorrente, al fine di ricostruire i flussi che lo hanno toccato e che pos- sono essere utili per chiarire i fatti oggetto d’indagine in Italia. Del resto, l'inte- resse alla “privacy” delle persone toccate dalla misura chiaramente non può prevalere, nelle descritte circostanze, sulle necessità di indagine e sull'obbligo della Svizzera di accordare l'assistenza più ampia possibile (art. 1 cpv. 1 CEAG; sentenza del Tribunale federale 1A.182/2006 del 9 agosto 2007 consid. 3.3), anche perché non è escluso un loro possibile coinvolgimento nei fatti indagati. Il diritto alla riservatezza del cliente non prevale manifestamente sugli interessi del procedimento penale, per cui il principio della proporzionalità non è stato disatteso neppure da questo punto di vista. Inoltre, qualora le condizioni per la concessione dell'assistenza sono date, come è il caso in concreto, il segreto bancario non rappresenta di per sé un ostacolo all'assistenza giudiziaria inter- nazionale in materia penale (v. DTF 127 II 151 consid. 4c/aa; 125 II 83 consid. 5; 123 II 153 consid. 7; sentenza del Tribunale penale federale RR.2011.3 del 21 marzo 2011 consid. 5; BODMER/KLEINER/LUTZ, Kommentar zum Bundesge- setz über die Banken und Sparkassen, 2015, n. 130 ad art. 47 LBCR).</w:t>
      </w:r>
    </w:p>
    <w:p>
      <w:r>
        <w:t>Per il resto, spetterà al giudice estero del merito chinarsi sulle contestazioni dei fatti e/o reati formulate dal ricorrente nonché valutare se dalla documentazione inoltrata emerge in concreto una connessione penalmente rilevante fra i fatti oggetto della procedura penale in Italia e detta documentazione. Alla luce della domanda rogatoriale risulta che tutta la documentazione litigiosa è potenzial- mente utile per l’inchiesta, motivo per cui la sua trasmissione rispetta il principio della proporzionalità e non costituisce una ricerca esplorativa e indiscriminata di prove.</w:t>
      </w:r>
    </w:p>
    <w:p>
      <w:r>
        <w:t>- 11 -</w:t>
      </w:r>
    </w:p>
    <w:p>
      <w:r>
        <w:rPr>
          <w:b/>
        </w:rPr>
        <w:t>E. 4.3</w:t>
      </w:r>
    </w:p>
    <w:p>
      <w:r>
        <w:t>Per quanto concerne l'invocata estraneità ai fatti oggetto del procedimento ita- liano, l'assunto ricorsuale non è decisivo. L’insorgente disattende infatti che l'e- ventuale qualità di persona non implicata nell'inchiesta all'estero non consente a priori di opporsi alle misure di assistenza. Basta che sussista una relazione diretta e oggettiva tra la persona ed il reato per il quale si indaga e ciò senza che siano necessarie un'implicazione nell'operazione criminosa e ancor meno una colpevolezza soggettiva ai sensi del diritto penale (DTF 120 Ib 251 consid. 5a e b; 118 Ib 547 consid. 3a in fine; ZIMMERMANN, op. cit., n. 404). Giova a tal proposito ricordare che l'art. 10 cpv. 1 AIMP, concernente la sfera segreta di persone non implicate nel procedimento penale, è stato abrogato con la modi- fica dell'AIMP del 4 ottobre 1996. Comunque, pure secondo il vecchio diritto, i titolari di conti bancari usati, anche a loro insaputa, per operazioni sospette non potevano prevalersi di quella disposizione (DTF 120 Ib 251 consid. 5b; 112 Ib 576 consid. 13d).</w:t>
      </w:r>
    </w:p>
    <w:p>
      <w:r>
        <w:rPr>
          <w:b/>
        </w:rPr>
        <w:t>E. 5</w:t>
      </w:r>
    </w:p>
    <w:p>
      <w:r>
        <w:t>In conclusione, nella misura della sua ammissibilità, il ricorso va integralmente respinto e la decisione impugnata confermata.</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 ricorrente; essa è coperta dall'an- ticipo delle spese del medesimo importo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