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RR.2022.111 vom 1. September 2022</w:t>
      </w:r>
    </w:p>
    <w:p>
      <w:r>
        <w:t>Bundesstrafgericht, 2022-09-01, IT</w:t>
      </w:r>
    </w:p>
    <w:p>
      <w:r>
        <w:rPr>
          <w:b/>
        </w:rPr>
        <w:t xml:space="preserve">Quelle: </w:t>
      </w:r>
      <w:r>
        <w:t>https://mcp.opencaselaw.ch/entscheid/bstger_RR.2022.111</w:t>
      </w:r>
    </w:p>
    <w:p>
      <w:r>
        <w:t>FR: TPF RR.2022.111 du 1 septembre 2022</w:t>
      </w:r>
    </w:p>
    <w:p>
      <w:r>
        <w:t>IT: TPF RR.2022.111 del 1 settembre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w:t>
      </w:r>
    </w:p>
    <w:p>
      <w:r>
        <w:t>- 4 -</w:t>
      </w:r>
    </w:p>
    <w:p>
      <w:r>
        <w:t>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di cui al punto 2 lett. t del dispositivo della de- cisione impugnata, la ricorrente è legittimata a ricorrere per detta relazione (v. art. 80h lett. b AIMP e art. 9a lett. a OAIMP nonché DTF 137 IV 134 consid. 5.2.1; 130 II 162 consid. 1.1; 128 II 211 consid. 2.3; TPF 2007 79 consid. 1.6 pag. 82). La legittimazione non è invece data per le altre relazioni bancarie og- getto della decisione impugnata, né per la segnalazione MROS del 18 marzo 2022, dato che non concerne la relazione della ricorrente (v. sentenza del Tri- bunale penale federale RR.2021.105 del 24 agosto 2021 consid. 1.5.2-1.5.3).</w:t>
      </w:r>
    </w:p>
    <w:p>
      <w:r>
        <w:rPr>
          <w:b/>
        </w:rPr>
        <w:t>E. 2</w:t>
      </w:r>
    </w:p>
    <w:p>
      <w:r>
        <w:t>La ricorrente censura innanzitutto la violazione del suo diritto di essere sentita, nella misura in cui l’autorità d’esecuzione non le avrebbe impartito alcun termine per esprimersi in merito alla documentazione litigiosa.</w:t>
      </w:r>
    </w:p>
    <w:p>
      <w:r>
        <w:rPr>
          <w:b/>
        </w:rPr>
        <w:t>E. 2.1</w:t>
      </w:r>
    </w:p>
    <w:p>
      <w:r>
        <w:t>e 2.3 con rinvii; sentenza del Tribunale penale federale RR.2012.91-92 del 18 luglio 2012 consid. 2). Alla luce di ciò il diritto di essere sentito della ricorrente è stato rispettato. Disponendo inoltre la scrivente autorità di pieno potere cogni- tivo in fatto e in diritto (TPF 2007 57) e avendo avuto la ricorrente in questa sede ampia facoltà di esprimersi, un'eventuale violazione del predetto diritto sarebbe stata comunque sanata dalla presente procedura (v. DTF 124 II 132 consid. 2d; sentenze del Tribunale federale 1C_525/2008 e 1C_526/2008 del 28 novembre 2008 consid. 1.3 nonché 1A.54/2004 del 30 aprile 2004; TPF 2008 172 consid. 2.3; ZIMMERMANN, op. cit., n. 472). Ne discende che la censura, infondata, deve essere respinta.</w:t>
      </w:r>
    </w:p>
    <w:p>
      <w:r>
        <w:t>- 6 -</w:t>
      </w:r>
    </w:p>
    <w:p>
      <w:r>
        <w:rPr>
          <w:b/>
        </w:rPr>
        <w:t>E. 2.2</w:t>
      </w:r>
    </w:p>
    <w:p>
      <w:r>
        <w:t>In concreto, si rileva che, con scritto del 6 aprile 2022, il MP-TI ha trasmesso alla ricorrente la documentazione bancaria riguardante il conto della ricorrente destinato alle autorità italiane (v. atto 70 incarto MP-TI). A partire da quel mo- mento la predetta ha avuto la possibilità di accedere quindi a quella documen- tazione e di esprimersi sull'utilità o meno della stessa per l'inchiesta estera; ella è restata tuttavia passiva per più di un mese, sino all’emanazione della deci- sione impugnata, nonostante il fatto che la persona toccata da una misura d'as- sistenza, in base alla giurisprudenza, non può accontentarsi di assumere un'at- titudine passiva quando sa che delle misure di assistenza sono state adottate e che una decisione di trasmissione è imminente. In ossequio al principio della buona fede (art. 5 cpv. 3 Cost.), ella deve intervenire presso l'autorità d'esecu- zione, cercare di conoscere gli atti di cui è prevista la trasmissione ed indicare precisamente quali di questi non dovrebbero essere trasmessi all'autorità estera (v. sentenza del Tribunale federale 1A.160/2003 del 10 settembre 2003 consid.</w:t>
      </w:r>
    </w:p>
    <w:p>
      <w:r>
        <w:rPr>
          <w:b/>
        </w:rPr>
        <w:t>E. 3</w:t>
      </w:r>
    </w:p>
    <w:p>
      <w:r>
        <w:t>La ricorrente sostiene che la rogatoria sarebbe carente sia dal punto di vista formale che sostanziale. Con riferimento ai reati fiscali, ella censura l’assenza di un esposto dei fatti più rigoroso.</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3.2</w:t>
      </w:r>
    </w:p>
    <w:p>
      <w:r>
        <w:t>Nella fattispecie, l’autorità rogante ha affermato che la domanda di assistenza del 21 dicembre 2021 “costituisce un ulteriore sviluppo delle indagini concer- nente E., già condannato in via definitiva per alcuni episodi di riciclaggio. In tale contesto questo Ufficio sta procedendo a indagini per il reato di riciclaggio (art. 648 bis c.p.) a carico di B. e per il reato di autoriciclaggio (art. 648 bis c.p.) a carico di C. e D.” (atto 1, pag. 1, incarto MP-TI). Ora, dalle indagini sino ad ora svolte, nel meccanismo di riciclaggio evocato è emerso il coinvolgimento della I. SA, società riconducibile a E., la quale avrebbe effettuato numerosi pagamenti in favore di persone fisiche e giuridiche all’estero, in particolare della H. SA in Liechtenstein, di cui amministratore unico è B. Grazie all’analisi di materiale in- formatico sequestrato alla moglie di E., F., l’autorità italiana ritiene che H. SA sia stata utilizzata da E. per monetizzare somme di denaro transitate da I. SA. Più precisamente, “in tali files la F. annotava le movimentazioni in entrata ed in uscita dai conti correnti della società I. SA, nonché le relative commissioni trat- tenute per la monetizzazione delle somme restituite ai clienti. Dall’analisi dei citati files, si ha motivo di ritenere che la H. SA sia stata utilizzata dal E. per monetizzare le somme di denaro transitate da I. SA e relative ad un flusso di fatturazione operato dalla società austriaca J. GmbH […] verso la società K. Spa. È stato infatti accertato che il rappresentante legale della società, L., avrebbe ricevuto l’integrale retrocessione in contanti ad opera di E. delle</w:t>
      </w:r>
    </w:p>
    <w:p>
      <w:r>
        <w:t>- 7 -</w:t>
      </w:r>
    </w:p>
    <w:p>
      <w:r>
        <w:t>somme, pagate dalla K. Spa alla J. GmbH” (atto 1, pag. 3, incarto MP-TI). Nella loro rogatoria di tredici pagine, le autorità italiane hanno elencato tutta una serie di operazioni, addebiti e accrediti, che hanno coinvolto persone fisiche e giuri- diche toccate dalle indagini, le quali avrebbero per oggetto presunti atti di rici- claggio e autoriciclaggio di denaro proveniente dalla frode fiscale e da infrazioni all’IVA, quest’ultime commesse allestendo fatture false (v. atto 1, pag. 10 e seg., incarto MP-TI). I conti riconducibili a H. SA sarebbero stati utilizzati per opera- zioni di riciclaggio a favore di clienti italiani. In particolare, sul conto corrente IBAN n. 2 sono stati registrati accrediti per complessivi EUR 19'167'360.29 e addebiti per EUR 18'938'797.77. Tra quest’ultimi, vi sono addebiti, intervenuti tra il 3 marzo e il 17 novembre 2014, per un importo totale di EUR 390'000.– a favore del conto litigioso della ricorrente (v. ibidem, pag. 12).</w:t>
      </w:r>
    </w:p>
    <w:p>
      <w:r>
        <w:t>Quanto precede soddisfa le esigenze normative e giurisprudenziali poste in ma- teria di esposto dei fatti. Sufficientemente chiaro risulta essere in ogni caso il motivo che ha indotto l’autorità rogante a chiedere di ottenere la documenta- zione litigiosa, legato ai bonifici di cui sopra. Per il resto, non spetta al giudice dell'assistenza approfondire ulteriormente la fattispecie oggetto d'inchiesta, tan- tomeno ottenere le prove dei contestati reati (per quanto concerne la fiscalità indiretta, v. infra consid. 4.1 in fine).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4</w:t>
      </w:r>
    </w:p>
    <w:p>
      <w:r>
        <w:t>La ricorrente afferma che la motivazione della rogatoria sarebbe insufficiente per ritenere adempiuto il principio della doppia punibilità. Più precisamente, la rogatoria non permetterebbe di verificare i requisiti posti dal diritto svizzero in ambito di riciclaggio di denaro.</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w:t>
      </w:r>
    </w:p>
    <w:p>
      <w:r>
        <w:t>- 8 -</w:t>
      </w:r>
    </w:p>
    <w:p>
      <w:r>
        <w:t>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w:t>
      </w:r>
    </w:p>
    <w:p>
      <w:r>
        <w:t>- 9 -</w:t>
      </w:r>
    </w:p>
    <w:p>
      <w:r>
        <w:t>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rilievo (v. KOCHER, Commentario basilese, 2015, n. 121 e segg. ad art. 3 AIMP; UNSELD, Internationale Rechtshilfe im Steuerrecht: Akzes- sorische Rechtshilfe, Auslieferung und Vollstreckungshilfe bei Fiskaldelikten, 2011, pag. 135, 147 e seg.; sentenza del Tribunale penale federale RR.2010.262 dell’11 giugno 2012 consid. 1.2.2).</w:t>
      </w:r>
    </w:p>
    <w:p>
      <w:r>
        <w:rPr>
          <w:b/>
        </w:rPr>
        <w:t>E. 4.2</w:t>
      </w:r>
    </w:p>
    <w:p>
      <w:r>
        <w:t>Nella fattispecie, nella misura in cui il procedimento estero verte su reati legati all’utilizzo di fatture false finalizzate alla frode fiscale – si rileva a tal proposito che l’imputato D. “è stato deferito per il reato ex. Articolo 2 D. Lgs 74/2000 in qualità di rappresentante legale della M. Srl, per aver indicato nella dichiara- zione annuale ai fini IVA presentata per gli anni d’imposta 2006 e 2007, elementi passivi fittizi, avvalendosi di fatture soggettivamente inesistenti” (atto 1, pag. 10, incarto MP-TI) – e a operazioni di riciclaggio del relativo denaro movimentato (v. ibidem, pag. 10 e seg., nonché supra consid. 2.2), i fatti contestati agli inda- gati possono perlomeno essere sussunti ai reati di falsità in documenti (art. 251 CP) e truffa in materia fiscale (art. 14 cpv. 2 DPA), precisato trattarsi di fiscalità indiretta, per cui la condizione della doppia punibilità è ossequiata già solo per tale motivo. La censura va dunque disattesa.</w:t>
      </w:r>
    </w:p>
    <w:p>
      <w:r>
        <w:rPr>
          <w:b/>
        </w:rPr>
        <w:t>E. 5</w:t>
      </w:r>
    </w:p>
    <w:p>
      <w:r>
        <w:t>Dichiarandosi totalmente estranea ai fatti oggetto d’indagine all’estero, l’insor- gente sostiene che la decisione impugnata violi i principi della proporzionalità e dell’utilità potenziale nonché il divieto della fishing expedition. La contestata tra- smissione avverrebbe in assenza di elementi concreti di sospetto che consen- tirebbero di ricollegare la documentazione litigiosa, concernente la sua sfera privata, ai fatti oggetto d’indagine all’estero.</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w:t>
      </w:r>
    </w:p>
    <w:p>
      <w:r>
        <w:t>- 10 -</w:t>
      </w:r>
    </w:p>
    <w:p>
      <w:r>
        <w:t>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w:t>
      </w:r>
    </w:p>
    <w:p>
      <w:r>
        <w:t>- 11 -</w:t>
      </w:r>
    </w:p>
    <w:p>
      <w:r>
        <w:t>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5.2</w:t>
      </w:r>
    </w:p>
    <w:p>
      <w:r>
        <w:t>Nella fattispecie, l'utilità potenziale della documentazione litigiosa è certamente data. L’autorità rogante ha infatti individuato accrediti, avvenuti tra il 3 marzo e il 17 novembre 2014, per un totale di EUR 390'000.–, provenienti della relazione IBAN 2 intestata a H. SA, società implicata nei fatti oggetto d’indagine all’estero (v. atto 1, pag. 12, incarto MP-TI), a favore del conto litigioso della ricorrente. Le autorità estere devono poter accedere a tutta la documentazione riguardante il conto della ricorrente, al fine di ricostruire i flussi che lo hanno toccato e che possono essere utili per chiarire i fatti oggetto d’indagine in Italia. Del resto, l'interesse alla “privacy” delle persone toccate dalla misura chiaramente non può prevalere, nelle descritte circostanze, sulle necessità di indagine e sull'ob- bligo della Svizzera di accordare l'assistenza più ampia possibile (art. 1 cpv. 1 CEAG; sentenza del Tribunale federale 1A.182/2006 del 9 agosto 2007 consid. 3.3), anche perché non è escluso un loro possibile coinvolgimento nei fatti in- dagati. Il diritto alla riservatezza del cliente non prevale manifestamente sugli interessi del procedimento penale, per cui il principio della proporzionalità non è stato disatteso neppure da questo punto di vista. Inoltre, qualora le condizioni per la concessione dell'assistenza sono date, come è il caso in concreto, il se- greto bancario non rappresenta di per sé un ostacolo all'assistenza giudiziaria internazionale in materia penale (v. DTF 127 II 151 consid. 4c/aa; 125 II 83 con- sid. 5; 123 II 153 consid. 7; sentenza del Tribunale penale federale RR.2011.3</w:t>
      </w:r>
    </w:p>
    <w:p>
      <w:r>
        <w:t>- 12 -</w:t>
      </w:r>
    </w:p>
    <w:p>
      <w:r>
        <w:t>del 21 marzo 2011 consid. 5; BODMER/KLEINER/LUTZ, Kommentar zum Bundes- gesetz über die Banken und Sparkassen, 2015, n. 130 ad art. 47 LBCR).</w:t>
      </w:r>
    </w:p>
    <w:p>
      <w:r>
        <w:t>Per il resto, spetterà al giudice estero del merito chinarsi sulle contestazioni dei fatti e/o reati formulate dalla ricorrente nonché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una ricerca esplorativa e indiscrimi- nata di prove.</w:t>
      </w:r>
    </w:p>
    <w:p>
      <w:r>
        <w:rPr>
          <w:b/>
        </w:rPr>
        <w:t>E. 5.3</w:t>
      </w:r>
    </w:p>
    <w:p>
      <w:r>
        <w:t>Per quanto concerne l'invocata estraneità ai fatti oggetto del procedimento ita- liano, l'assunto ricorsuale non è decisivo. L’insorgente disattende infatti che l'e- 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 fica dell'AIMP del 4 ottobre 1996. Comunque, pure secondo il vecchio diritto, i titolari di conti bancari usati, anche a loro insaputa, per operazioni sospette non potevano prevalersi di quella disposizione (DTF 120 Ib 251 consid. 5b; 112 Ib 576 consid. 13d).</w:t>
      </w:r>
    </w:p>
    <w:p>
      <w:r>
        <w:rPr>
          <w:b/>
        </w:rPr>
        <w:t>E. 6</w:t>
      </w:r>
    </w:p>
    <w:p>
      <w:r>
        <w:t>In conclusione, nella misura della sua ammissibilità, il ricorso va integralmente respinto e la decisione impugnata confermata.</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