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RR.2022.108 vom 1. September 2022</w:t>
      </w:r>
    </w:p>
    <w:p>
      <w:r>
        <w:t>Bundesstrafgericht, 2022-09-01, IT</w:t>
      </w:r>
    </w:p>
    <w:p>
      <w:r>
        <w:rPr>
          <w:b/>
        </w:rPr>
        <w:t xml:space="preserve">Quelle: </w:t>
      </w:r>
      <w:r>
        <w:t>https://mcp.opencaselaw.ch/entscheid/bstger_RR.2022.108</w:t>
      </w:r>
    </w:p>
    <w:p>
      <w:r>
        <w:t>FR: TPF RR.2022.108 du 1 septembre 2022</w:t>
      </w:r>
    </w:p>
    <w:p>
      <w:r>
        <w:t>IT: TPF RR.2022.108 del 1 settembre 2022</w:t>
      </w:r>
    </w:p>
    <w:p>
      <w:pPr>
        <w:pStyle w:val="Heading2"/>
      </w:pPr>
      <w:r>
        <w:t>Regeste</w:t>
      </w:r>
    </w:p>
    <w:p>
      <w:r>
        <w:t>Assistenza giudiziaria internazionale in materia penale all'Italia; consegna di mezzi di prova (art. 74 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 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è anche la Convenzione sul riciclaggio, la ricerca, il sequestro e la confisca dei proventi di reato, conclusa a Strasburgo l’8 novembre 1990, entrata in vigore il 1° settembre 1993 per la</w:t>
      </w:r>
    </w:p>
    <w:p>
      <w:r>
        <w:t>- 4 -</w:t>
      </w:r>
    </w:p>
    <w:p>
      <w:r>
        <w:t>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I n. 2 Accordo italo-svizzero). È fatto salvo il rispetto dei diritti fonda- mentali (DTF 145 IV 294 consid. 2.1; 135 IV 212 consid. 2.3; 123 II 595 con- 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Le decisioni dell’autorità cantonale o federale d’esecuzione relative alla chiu- sura della procedura d’assistenza giudiziaria (cosiddette decisioni di chiusura) possono essere impugnate congiuntamente alle decisioni incidentali anteriori, con termine di ricorso di trenta giorni (v. art. 80e cpv. 1 e 80k AIMP).</w:t>
      </w:r>
    </w:p>
    <w:p>
      <w:r>
        <w:rPr>
          <w:b/>
        </w:rPr>
        <w:t>E. 1.5</w:t>
      </w:r>
    </w:p>
    <w:p>
      <w:r>
        <w:t>Interposto tempestivamente contro la sopraccitata decisione di chiusura, il ri- corso è ricevibile sotto il profilo degli art. 25 cpv. 1, 80e cpv. 1 e 80k AIMP. Titolare della relazione bancaria oggetto della decisione impugnata, il ricorrente è legittimato a ricorrere (v. art. 80h lett. b AIMP e art. 9a lett. a OAIMP nonché DTF 137 IV 134 consid. 5.2.1; 130 II 162 consid. 1.1; 128 II 211 consid. 2.3; TPF 2007 79 consid. 1.6 pag. 82).</w:t>
      </w:r>
    </w:p>
    <w:p>
      <w:r>
        <w:rPr>
          <w:b/>
        </w:rPr>
        <w:t>E. 2</w:t>
      </w:r>
    </w:p>
    <w:p>
      <w:r>
        <w:t>Il ricorrente sostiene che la rogatoria sarebbe carente sia dal punto di vista for- male che sostanziale.</w:t>
      </w:r>
    </w:p>
    <w:p>
      <w:r>
        <w:rPr>
          <w:b/>
        </w:rPr>
        <w:t>E. 2.1</w:t>
      </w:r>
    </w:p>
    <w:p>
      <w:r>
        <w:t>Per quanto attiene alla domanda di assistenza, gli art. 14 CEAG, 27 n. 1 CRic e 28 AIMP esigono in sostanza che essa sia scritta, che indichi l'ufficio da cui emana e all'occorrenza l'autorità competente per il procedimento penale, il suo oggetto, il motivo, la qualificazione giuridica del reato, i dati, il più possibile pre- cisi e completi, della persona contro cui è diretto il procedimento penale, pre- sentando altresì un breve esposto dei fatti essenziali, al fine di permettere allo Stato rogato di verificare che non sussistano condizioni ostative all'assistenza (DTF 129 II 97 consid. 3; 118 Ib 111 consid. 5b pag. 121, 547 consid. 3a; 117 Ib 64 consid. 5c; TPF 2015 110 consid. 5.2.1). Ciò non implica per lo Stato</w:t>
      </w:r>
    </w:p>
    <w:p>
      <w:r>
        <w:t>- 5 -</w:t>
      </w:r>
    </w:p>
    <w:p>
      <w:r>
        <w:t>richiedente l'obbligo di provare la commissione del reato, ma solo quello di esporre in modo sufficiente le circostanze sulle quali fonda i propri sospetti, per permettere allo Stato richiesto di escludere la sussistenza di un'inammissibile ricerca indiscriminata di prove (v. su questo tema DTF 129 II 97 consid. 3.1; 125 II 65 consid. 6b/aa; 122 II 367 consid. 2c; sentenza del Tribunale penale fede- rale RR.2017.92 del 18 luglio 2017 consid. 2.2). L'autorità rogata non si scosta dall'esposto dei fatti contenuto nella domanda, fatti salvi gli errori, le lacune o altre contraddizioni evidenti ed immediatamente rilevati (DTF 142 IV 250 con- sid. 6.3; 136 IV 4 consid. 4.1; 133 IV 76 consid. 2.2; 132 II 81 consid. 2.1; 118 Ib 111 consid. 5b pag. 121 e seg; TPF 2011 194 consid. 2.1.).</w:t>
      </w:r>
    </w:p>
    <w:p>
      <w:r>
        <w:rPr>
          <w:b/>
        </w:rPr>
        <w:t>E. 2.2</w:t>
      </w:r>
    </w:p>
    <w:p>
      <w:r>
        <w:t>Nella fattispecie, l’autorità rogante ha affermato che la domanda di assistenza del 21 dicembre 2021 “costituisce un ulteriore sviluppo delle indagini concer- nente E., già condannato in via definitiva per alcuni episodi di riciclaggio. In tale contesto questo Ufficio sta procedendo a indagini per il reato di riciclaggio (art. 648 bis c.p.) a carico di B. e per il reato di autoriciclaggio (art. 648 bis c.p.) a carico di C. e D.” (atto 1, pag. 1, incarto MP-TI). Ora, dalle indagini sino ad ora svolte, nel meccanismo di riciclaggio evocato è emerso il coinvolgimento della J. SA, società riconducibile a E., la quale avrebbe effettuato numerosi paga- menti in favore di persone fisiche e giuridiche all’estero, in particolare della H. SA in Liechtenstein, di cui amministratore unico è B. Grazie all’analisi di mate- riale informatico sequestrato alla moglie di E., F., l’autorità italiana ritiene che H. SA sia stata utilizzata da E. per monetizzare somme di denaro transitate da J. SA. Più precisamente, “in tali files la F. annotava le movimentazioni in entrata ed in uscita dai conti correnti della società J. SA, nonché le relative commissioni trattenute per la monetizzazione delle somme restituite ai clienti. Dall’analisi dei citati files, si ha motivo di ritenere che la H. SA sia stata utilizzata dal E. per monetizzare le somme di denaro transitate da J. SA e relative ad un flusso di fatturazione operato dalla società austriaca K. GmbH […] verso la società L. Spa. È stato infatti accertato che il rappresentante legale della società, M., avrebbe ricevuto l’integrale retrocessione in contanti ad opera di E. delle somme, pagate dalla L. Spa alla K. GmbH” (atto 1, pag. 3, incarto MP-TI). Nella loro rogatoria di tredici pagine, le autorità italiane hanno elencato tutta una serie di operazioni, addebiti e accrediti, che hanno coinvolto persone fisiche e giuri- diche toccate dalle indagini, le quali avrebbero per oggetto presunti atti di rici- claggio e autoriciclaggio di denaro proveniente dalla frode fiscale e da infrazioni all’IVA, quest’ultime commesse allestendo fatture false (v. atto 1, pag. 10 e seg., incarto MP-TI). I conti riconducibili a H. SA sarebbero stati utilizzati per opera- zioni di riciclaggio a favore di clienti italiani. In particolare, sul conto corrente IBAN n. 2 sono stati registrati accrediti per complessivi EUR 19'167'360.29 e addebiti per EUR 18'938'797.77. Tra i primi, vi sono accrediti, intervenuti tra il</w:t>
      </w:r>
    </w:p>
    <w:p>
      <w:r>
        <w:rPr>
          <w:b/>
        </w:rPr>
        <w:t>E. 6</w:t>
      </w:r>
    </w:p>
    <w:p>
      <w:r>
        <w:t>In conclusione, il ricorso va integralmente respinto e la decisione impugnata confermata.</w:t>
      </w:r>
    </w:p>
    <w:p>
      <w:r>
        <w:t>- 12 -</w:t>
      </w:r>
    </w:p>
    <w:p>
      <w:r>
        <w:rPr>
          <w:b/>
        </w:rPr>
        <w:t>E. 7</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 sata nella fattispecie a fr. 5'000.–, a carico del ricorrente; essa è coperta dall'an- ticipo delle spese del medesimo importo già versato.</w:t>
      </w:r>
    </w:p>
    <w:p>
      <w:r>
        <w:t>- 13 -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