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RR.2022.107 vom 1. September 2022</w:t>
      </w:r>
    </w:p>
    <w:p>
      <w:r>
        <w:t>Bundesstrafgericht, 2022-09-01, IT</w:t>
      </w:r>
    </w:p>
    <w:p>
      <w:r>
        <w:rPr>
          <w:b/>
        </w:rPr>
        <w:t xml:space="preserve">Quelle: </w:t>
      </w:r>
      <w:r>
        <w:t>https://mcp.opencaselaw.ch/entscheid/bstger_RR.2022.107</w:t>
      </w:r>
    </w:p>
    <w:p>
      <w:r>
        <w:t>FR: TPF RR.2022.107 du 1 septembre 2022</w:t>
      </w:r>
    </w:p>
    <w:p>
      <w:r>
        <w:t>IT: TPF RR.2022.107 del 1 settembre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w:t>
      </w:r>
    </w:p>
    <w:p>
      <w:r>
        <w:t>- 4 -</w:t>
      </w:r>
    </w:p>
    <w:p>
      <w:r>
        <w:t>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I n. 2 Accordo italo-svizzero). È fatto salvo il rispetto dei diritti fonda- mentali (DTF 145 IV 294 consid. 2.1;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di cui al punto 2 lett. g del dispositivo della decisione impugnata, la ricorrente è legittimata a ricorrere per detta relazione (v. art. 80h lett. b AIMP e art. 9a lett. a OAIMP nonché DTF 137 IV 134 consid. 5.2.1; 130 II 162 consid. 1.1; 128 II 211 consid. 2.3; TPF 2007 79 consid. 1.6 pag. 82). La legittimazione non è invece data per le altre relazioni bancarie og- getto della decisione impugnata, né per la segnalazione MROS del 18 marzo 2022, dato che non concerne la relazione della ricorrente (v. sentenza del Tri- bunale penale federale RR.2021.105 del 24 agosto 2021 consid. 1.5.2-1.5.3).</w:t>
      </w:r>
    </w:p>
    <w:p>
      <w:r>
        <w:rPr>
          <w:b/>
        </w:rPr>
        <w:t>E. 2</w:t>
      </w:r>
    </w:p>
    <w:p>
      <w:r>
        <w:t>La ricorrente sostiene che la rogatoria non rispetterebbe le condizioni di diritto internazionale e svizzero riguardanti la forma e il contenuto dell’esposto dei fatti. A suo avviso, essa non esporrebbe in maniera sufficientemente chiara i fatti essenziali alla base della richiesta e non qualificherebbe in modo sufficiente- mente preciso i reati commessi all’estero.</w:t>
      </w:r>
    </w:p>
    <w:p>
      <w:r>
        <w:t>- 5 -</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Nella fattispecie, l’autorità rogante ha affermato che la domanda di assistenza del 21 dicembre 2021 “costituisce un ulteriore sviluppo delle indagini concer- nente E., già condannato in via definitiva per alcuni episodi di riciclaggio. In tale contesto questo Ufficio sta procedendo a indagini per il reato di riciclaggio (art. 648 bis c.p.) a carico di B. e per il reato di autoriciclaggio (art. 648 bis c.p.) a carico di C. e D.” (atto 1, pag. 1, incarto MP-TI). Ora, dalle indagini sino ad ora svolte, nel meccanismo di riciclaggio evocato è emerso il coinvolgimento della J. SA, società riconducibile a E., la quale avrebbe effettuato numerosi paga- menti in favore di persone fisiche e giuridiche all’estero, in particolare della K. SA in Liechtenstein, di cui amministratore unico è B. Grazie all’analisi di ma- teriale informatico sequestrato alla moglie di E., F., l’autorità italiana ritiene che K. SA sia stata utilizzata da E. per monetizzare somme di denaro transitate da J. SA. Più precisamente, “in tali files la F. annotava le movimentazioni in entrata ed in uscita dai conti correnti della società J. SA, nonché le relative commissioni trattenute per la monetizzazione delle somme restituite ai clienti. Dall’analisi dei citati files, si ha motivo di ritenere che la K. SA sia stata utilizzata dal E. per monetizzare le somme di denaro transitate da J. SA e relative ad un flusso di fatturazione operato dalla società austriaca L. GmbH […] verso la società M. Spa. È stato infatti accertato che il rappresentante legale della società, N., avrebbe ricevuto l’integrale retrocessione in contanti ad opera di E. delle somme, pagate dalla M. Spa alla L. GmbH” (atto 1, pag. 3, incarto MP-TI). Nella loro rogatoria di tredici pagine, le autorità italiane hanno elencato tutta una serie di operazioni, addebiti e accrediti, che hanno coinvolto persone fisiche e giuri-</w:t>
      </w:r>
    </w:p>
    <w:p>
      <w:r>
        <w:t>- 6 -</w:t>
      </w:r>
    </w:p>
    <w:p>
      <w:r>
        <w:t>diche toccate dalle indagini, le quali avrebbero per oggetto presunti atti di rici- claggio e autoriciclaggio di denaro proveniente dalla frode fiscale e da infrazioni all’IVA, quest’ultime commesse allestendo fatture false (v. atto 1, pag. 10 e seg., incarto MP-TI). I conti riconducibili a K. SA sarebbero stati utilizzati per opera- zioni di riciclaggio a favore di clienti italiani. In particolare, sul conto corrente IBAN n. 2 sono stati registrati accrediti per complessivi EUR 19'167'360.29 e addebiti per EUR 18'938'797.77. Tra i primi, vi sono accrediti, intervenuti tra il 25 giugno e il 22 ottobre 2012, per un importo totale di EUR 726'477.87 prove- niente dal conto litigioso della ricorrente (v. ibidem, pag. 11).</w:t>
      </w:r>
    </w:p>
    <w:p>
      <w:r>
        <w:t>Quanto precede soddisfa le esigenze normative e giurisprudenziali poste in ma- teria di esposto dei fatti. Sufficientemente chiaro risulta essere in ogni caso il motivo che ha indotto l’autorità rogante a chiedere di ottenere la documenta- zione litigiosa, legato ai bonifici di cui sopra. Per il resto, non spetta al giudice dell'assistenza approfondire ulteriormente la fattispecie oggetto d'inchiesta, tan- tomeno ottenere le prove dei contestati reati (per quanto riguarda la fiscalità indiretta, v. infra consid. 3.1 in fine). Sarà proprio la documentazione litigiosa a permettere all'autorità estera di progredire nella sua attività investigativa e di acclarare ulteriormente le condotte mosse a carico dei soggetti indagati. Le cen- sure in questo ambito vanno dunque respinte.</w:t>
      </w:r>
    </w:p>
    <w:p>
      <w:r>
        <w:rPr>
          <w:b/>
        </w:rPr>
        <w:t>E. 3</w:t>
      </w:r>
    </w:p>
    <w:p>
      <w:r>
        <w:t>La ricorrente censura la violazione del principio della doppia punibilità. A suo dire, “i fatti della domanda italiana sono formulati in maniera poco lineare mentre che il diritto è limitato all’indicazione dei reati di riciclaggio, e autoriciclaggio fa- cendo difetto eventuali altre sussunzioni. Va da sé che tale modo di operare ostacola il controllo da parte dell’autorità d’esecuzione del principio della doppia punibilità o meglio le impone, come è stato il caso, di ipotizzare i reati di frode fiscale, violazione della legge sull’IVA e truffa in materia fiscale, che nemmeno vengono nominati” (act. 1, pag. 9).</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w:t>
      </w:r>
    </w:p>
    <w:p>
      <w:r>
        <w:t>- 7 -</w:t>
      </w:r>
    </w:p>
    <w:p>
      <w:r>
        <w:t>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L'art. 2 lett. a CEAG permette di rifiutare l'assistenza giudiziaria quando la do- 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 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 niali (DTF 125 II 250 consid. 3a). La nozione d'inganno astuto corrisponde so- stanzialmente a quella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 minate circostanze anche false informazioni la cui verifica non è possibile, è difficile o non è ragionevolmente esigibile possono costituire un inganno astuto, come pure se il truffatore dissuade la vittima dall'effettuare una verifica o pre- vede, date le circostanze, che essa rinuncerà a farlo in virtù, segnatamente, di un particolare rapporto di fiducia (DTF 139 II 404 consid. 9.4; 137 IV 25 con- sid. 4.4.3.2 con rinvii; 135 IV 76 consid. 5.2; v. anche TPF 2008 128 con- 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w:t>
      </w:r>
    </w:p>
    <w:p>
      <w:r>
        <w:t>- 8 -</w:t>
      </w:r>
    </w:p>
    <w:p>
      <w:r>
        <w:t>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n. 645 nota 884 pag. 700).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discriminante di ri- 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3.2</w:t>
      </w:r>
    </w:p>
    <w:p>
      <w:r>
        <w:t>Nella fattispecie, nella misura in cui il procedimento estero verte su reati legati all’utilizzo di fatture false finalizzate alla frode fiscale – si rileva a tal proposito che l’imputato D. “è stato deferito per il reato ex. Articolo 2 D. Lgs 74/2000 in qualità di rappresentante legale della O. Srl, per aver indicato nella dichiara- zione annuale ai fini IVA presentata per gli anni d’imposta 2006 e 2007, elementi passivi fittizi, avvalendosi di fatture soggettivamente inesistenti” (atto 1, pag. 10, incarto MP-TI) – e a operazioni di riciclaggio del relativo denaro movimentato (v. ibidem, pag. 10 e seg., nonché supra consid. 2.2), i fatti contestati agli inda- gati possono perlomeno essere sussunti ai reati di falsità in documenti (art. 251 CP) e truffa in materia fiscale (art. 14 cpv. 2 DPA), precisato trattarsi di fiscalità indiretta, per cui la condizione della doppia punibilità è ossequiata già solo per tale motivo. La censura va dunque disattesa.</w:t>
      </w:r>
    </w:p>
    <w:p>
      <w:r>
        <w:rPr>
          <w:b/>
        </w:rPr>
        <w:t>E. 4</w:t>
      </w:r>
    </w:p>
    <w:p>
      <w:r>
        <w:t>L’insorgente sostiene che la decisione impugnata violi il principio della propor- zionalità nonché il divieto della fishing expedition, nella misura in cui “la docu- mentazione acquisita dal MP comprende i documenti di apertura del conto di base a lei intestato, e meglio quelli firmati al momento dell’apertura (avvenuta nel 2012) e quelli sottoscritti in un secondo tempo, ovvero quando la rubrica interessata dalla rogatoria era già stata chiusa. La Ricorrente richiede l’annul- lamento della decisione, con relativo respingimento della domanda italiana e subordinatamente, qualora questa Corte ritenesse adempiute le condizioni per</w:t>
      </w:r>
    </w:p>
    <w:p>
      <w:r>
        <w:t>- 9 -</w:t>
      </w:r>
    </w:p>
    <w:p>
      <w:r>
        <w:t>ammetterla, il rinvio al MP affinché operi lo stralcio di tali documenti dalla docu- mentazione acquisita. Essi risultano infatti assolutamente impertinenti e senza connessione con la domanda italiana, posto che quest’ultima si riferisce solo alla rubrica denominata J., aperta il 25.05.2012 ed estinta il 19.10.2012 e non alla relazione bancaria di base” (act. 1, pag. 10). Essa postula ugualmente la non trasmissione di due formulari A “entrambi sottoscritti nel settembre 2015, uno indicante il beneficiano economico della rubrica 001.0017.978, ossia una rubrica diversa rispetto a quella indicata nella commissione rogatoria, mentre l’altro indicante la Ricorrente medesima. Nel primo trattasi di un cittadino fran- cese che nulla ha a che vedere con i fatti della rogatoria ed il cui nominativo non compare in nessun atto” (ibidem). A suo dire, entrambi i documenti non presen- terebbero connessione alcuna con il procedimento italiano e la banca detentrice degli stessi avrebbe ammesso di averli inoltrati per errore, ritenuto che non con- cernerebbero il conto indicato nell’ordine di sequestro (v. act. 1, pag. 10 e seg.).</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w:t>
      </w:r>
    </w:p>
    <w:p>
      <w:r>
        <w:t>- 10 -</w:t>
      </w:r>
    </w:p>
    <w:p>
      <w:r>
        <w:t>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723, pag. 798 e seg.). Vie- tata è per contro la cosiddetta fishing expedition, la quale è definita dalla giuri- sprudenza una ricerca generale e indeterminata di mezzi di prova volta a fon- 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Nella fattispecie, l'utilità potenziale della documentazione litigiosa è certamente data. L’autorità rogante ha infatti individuato accrediti, avvenuti tra il 25 giugno</w:t>
      </w:r>
    </w:p>
    <w:p>
      <w:r>
        <w:t>- 11 -</w:t>
      </w:r>
    </w:p>
    <w:p>
      <w:r>
        <w:t>e il 22 ottobre 2012, per un totale di EUR 726'477.87, provenienti dal conto litigioso a favore della relazione IBAN 2 intestata a K. SA, società implicata nei fatti oggetto d’indagine all’estero (v. atto 1, pag. 11, incarto MP-TI). Le autorità estere devono poter accedere a tutta la documentazione riguardante il conto della ricorrente, al fine di ricostruire i flussi che lo hanno toccato e che possono essere utili per chiarire i fatti oggetto d’indagine in Italia. Per quanto riguarda gli asseriti errori di trasmissione di determinati atti da parte della banca G. (v. atto 82 incarto MP-TI), l’autorità d’esecuzione ha assicurato che “all’Autorità rogante verrà trasmessa unicamente la documentazione corretta” (act. 1.5). Il tenore del punto 2 lett. g del dispositivo della decisione impugnata è del resto chiaro, per cui non vi è dubbio che verrà trasmessa unicamente la documentazione in que- stione (v. act. 1.1, pag. 17).</w:t>
      </w:r>
    </w:p>
    <w:p>
      <w:r>
        <w:t>Per il resto, spetterà al giudice estero del merito chinarsi sulle contestazioni dei fatti e/o reati formulate dalla ricorrente nonché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 e non costituisce una ricerca esplorativa e indiscrimi- nata di prove.</w:t>
      </w:r>
    </w:p>
    <w:p>
      <w:r>
        <w:rPr>
          <w:b/>
        </w:rPr>
        <w:t>E. 5</w:t>
      </w:r>
    </w:p>
    <w:p>
      <w:r>
        <w:t>In conclusione, nella misura della sua ammissibilità, il ricorso va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