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RR.2022.103 vom 1. September 2022</w:t>
      </w:r>
    </w:p>
    <w:p>
      <w:r>
        <w:t>Bundesstrafgericht, 2022-09-01, IT</w:t>
      </w:r>
    </w:p>
    <w:p>
      <w:r>
        <w:rPr>
          <w:b/>
        </w:rPr>
        <w:t xml:space="preserve">Quelle: </w:t>
      </w:r>
      <w:r>
        <w:t>https://mcp.opencaselaw.ch/entscheid/bstger_RR.2022.103</w:t>
      </w:r>
    </w:p>
    <w:p>
      <w:r>
        <w:t>FR: TPF RR.2022.103 du 1 septembre 2022</w:t>
      </w:r>
    </w:p>
    <w:p>
      <w:r>
        <w:t>IT: TPF RR.2022.103 del 1 settembre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w:t>
      </w:r>
    </w:p>
    <w:p>
      <w:r>
        <w:t>- 4 -</w:t>
      </w:r>
    </w:p>
    <w:p>
      <w:r>
        <w:t>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art. I n. 2 Accordo italo-svizzero). È fatto salvo il rispetto dei diritti fonda- mentali (DTF 145 IV 294 consid. 2.1; 135 IV 212 consid. 2.3; 123 II 595 con- 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Titolari della relazione bancaria di cui al punto 2 lett. u del dispositivo della de- cisione impugnata, i ricorrenti sono legittimati a ricorrere per detta relazione (v. art. 80h lett. b AIMP e art. 9a lett. a OAIMP nonché DTF 137 IV 134 consid. 5.2.1; 130 II 162 consid. 1.1; 128 II 211 consid. 2.3; TPF 2007 79 consid. 1.6 pag. 82). La legittimazione non è invece data per le altre relazioni bancarie og- getto della decisione impugnata, né per la segnalazione MROS del 18 marzo 2022, dato che non concerne la relazione dei ricorrenti (v. sentenza del Tribu- nale penale federale RR.2021.105 del 24 agosto 2021 consid. 1.5.2-1.5.3).</w:t>
      </w:r>
    </w:p>
    <w:p>
      <w:r>
        <w:rPr>
          <w:b/>
        </w:rPr>
        <w:t>E. 2</w:t>
      </w:r>
    </w:p>
    <w:p>
      <w:r>
        <w:t>I ricorrenti censurano innanzitutto la violazione del loro diritto di essere sentiti, nella misura in cui l’avv. Paolo Bernasconi, subentrato il 5 maggio 2022 all’avv. I. (v. act. 50 e 74 incarto MP-TI), non avrebbe potuto prendere posizione com- piutamente riguardo alla procedura rogatoriale.</w:t>
      </w:r>
    </w:p>
    <w:p>
      <w:r>
        <w:rPr>
          <w:b/>
        </w:rPr>
        <w:t>E. 2.1</w:t>
      </w:r>
    </w:p>
    <w:p>
      <w:r>
        <w:t>Il diritto di essere sentito viene concretizzato nell'ambito dell'assistenza giudi- ziaria internazionale agli art. 29 e segg. PA richiamato l'art. 12 cpv. 1 AIMP (ZIMMERMANN, La coopération judiciaire internationale en matière pénale, 5a ediz. 2019, n. 472). Esso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w:t>
      </w:r>
    </w:p>
    <w:p>
      <w:r>
        <w:t>- 5 -</w:t>
      </w:r>
    </w:p>
    <w:p>
      <w:r>
        <w:t>di prove pertinenti, di partecipare all'assunzione delle prove essenziali o, perlo- meno, di esprimersi sul loro risultato allorquando ciò può avere un influsso sulla decisione che verrà resa (DTF 135 II 287 consid. 5.1; 132 II 485 consid. 3.2; 129 II 497 consid. 2.2; 124 II 132 consid. 2b e riferimenti citati). Secondo la giurisprudenza, l'autorità di esecuzione, dopo aver concesso al detentore della documentazione la possibilità di addurre i motivi che si opporrebbero alla tra- smissione di determinati atti e la facoltà di partecipare alla necessaria cernita, ha l'obbligo di motivare accuratamente la decisione di chiusura (DTF 130 II 14 consid. 4.4 pag. 18). Essa non potrebbe infatti ordinare in modo acritico e inde- terminato la trasmissione dei documenti, delegandone tout court la selezione agli inquirenti esteri (DTF 127 II 151 consid. 4c/aa pag. 155; 122 II 367 consid. 2c; 112 Ib 576 consid. 14a pag. 604). Questo compito spetta all'autorità svizzera d'esecuzione che, in assenza di un eventuale consenso all'esecuzione sempli- ficata (art. 80c AIMP), prima di emanare una decisione di chiusura, deve impar- tire alle persone toccate giusta l'art. 80h lett. b AIMP e art. 9a OAIMP un termine per addurre riguardo ad ogni singolo documento gli argomenti che secondo loro si opporrebbero alla consegna. Questo affinché esse possano esercitare in ma- niera concreta ed effettiva il loro diritto di essere sentite (v. art. 30 cpv. 1 PA richiamato l'art. 39 cpv. 2 lett. b LOAP), secondo modalità di collaborazione co- munque rispettose del principio della buona fede (art. 5 cpv. 3 Cost.; KRAUSKOPF/EMMENEGGER, Praxiskommentar VwVG, 2a ediz. 2016, n. 54 ad art. 12 PA). La cernita deve aver luogo anche qualora l'interessato rinunci ad esprimersi (DTF 130 II 14 consid. 4.3 e 4.4; 126 II 258 consid. 9b/aa pag. 262; cfr. anche DTF 127 II 151 consid. 4c/aa; ZIMMERMANN, op. cit., n. 484, 724-725; DE PREUX, L'entraide internationale en matière pénale et la lutte contre le blan- chiment d'argent, SJZ 104/2008, n. 2 pag. 34).</w:t>
      </w:r>
    </w:p>
    <w:p>
      <w:r>
        <w:rPr>
          <w:b/>
        </w:rPr>
        <w:t>E. 2.2</w:t>
      </w:r>
    </w:p>
    <w:p>
      <w:r>
        <w:t>In concreto, si rileva che con scritto del 21 marzo 2022 l’avv. I., patrocinatore dei ricorrenti prima della sua sostituzione con l’avv. Paolo Bernasconi, avvenuta il 5 maggio seguente, ha potuto esprimersi dinanzi all’autorità d’esecuzione in merito al prospettato invio della documentazione litigiosa, ragione per cui il di- ritto di essere sentiti dei ricorrenti è stato rispettato. Tenuto conto di quanto pre- cede e dell’obbligo di celerità applicabile in materia di assistenza (v. art. 17a AIMP), la censura va respinta.</w:t>
      </w:r>
    </w:p>
    <w:p>
      <w:r>
        <w:rPr>
          <w:b/>
        </w:rPr>
        <w:t>E. 3</w:t>
      </w:r>
    </w:p>
    <w:p>
      <w:r>
        <w:t>I ricorrenti sostengono che la rogatoria non rispetterebbe le condizioni di diritto internazionale e svizzero riguardanti la forma e il contenuto dell’esposto dei fatti, il quale non permetterebbe di procedere al necessario apprezzamento giuridico del reato. Essa sarebbe inoltre inficiata da manifesti errori in fatto e in diritto tali da determinarne l’assoluta infondatezza e improcedibilità.</w:t>
      </w:r>
    </w:p>
    <w:p>
      <w:r>
        <w:rPr>
          <w:b/>
        </w:rPr>
        <w:t>E. 3.1</w:t>
      </w:r>
    </w:p>
    <w:p>
      <w:r>
        <w:t>Per quanto attiene alla domanda di assistenza, gli art. 14 CEAG, 27 n. 1 CRic e 28 AIMP esigono in sostanza che essa sia scritta, che indichi l'ufficio da cui</w:t>
      </w:r>
    </w:p>
    <w:p>
      <w:r>
        <w:t>- 6 -</w:t>
      </w:r>
    </w:p>
    <w:p>
      <w:r>
        <w:t>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3.2</w:t>
      </w:r>
    </w:p>
    <w:p>
      <w:r>
        <w:t>Nella fattispecie, l’autorità rogante ha affermato che la domanda di assistenza del 21 dicembre 2021 “costituisce un ulteriore sviluppo delle indagini concer- nente F., già condannato in via definitiva per alcuni episodi di riciclaggio. In tale contesto questo Ufficio sta procedendo a indagini per il reato di riciclaggio (art. 648 bis c.p.) a carico di C. e per il reato di autoriciclaggio (art. 648 bis c.p.) a carico di D. e E.” (atto 1, pag. 1, incarto MP-TI). Ora, dalle indagini sino ad ora svolte, nel meccanismo di riciclaggio evocato è emerso il coinvolgimento della J. SA, società riconducibile a F., la quale avrebbe effettuato numerosi paga- menti in favore di persone fisiche e giuridiche all’estero, in particolare della K. SA in Liechtenstein, di cui amministratore unico è C. Grazie all’analisi di mate- riale informatico sequestrato alla moglie di F., G., l’autorità italiana ritiene che K. SA sia stata utilizzata da F. per monetizzare somme di denaro transitate da J. SA. Più precisamente, “in tali files la G. annotava le movimentazioni in entrata ed in uscita dai conti correnti della società J. SA, nonché le relative commissioni trattenute per la monetizzazione delle somme restituite ai clienti. Dall’analisi dei citati files, si ha motivo di ritenere che la K. SA sia stata utilizzata dal F. per monetizzare le somme di denaro transitate da J. SA e relative ad un flusso di fatturazione operato dalla società austriaca L. GmbH […] verso la società M. Spa. È stato infatti accertato che il rappresentante legale della società, N., avrebbe ricevuto l’integrale retrocessione in contanti ad opera di F. delle somme, pagate dalla M. Spa alla L. GmbH” (atto 1, pag. 3, incarto MP-TI). Nella loro rogatoria di tredici pagine, le autorità italiane hanno elencato tutta una serie di operazioni, addebiti e accrediti, che hanno coinvolto persone fisiche e giuri- diche toccate dalle indagini, le quali avrebbero per oggetto presunti atti di rici- claggio e autoriciclaggio di denaro proveniente dalla frode fiscale e da infrazioni all’IVA, quest’ultime commesse allestendo fatture false (v. atto 1, pag. 10 e seg.,</w:t>
      </w:r>
    </w:p>
    <w:p>
      <w:r>
        <w:t>- 7 -</w:t>
      </w:r>
    </w:p>
    <w:p>
      <w:r>
        <w:t>incarto MP-TI). I conti riconducibili a K. SA sarebbero stati utilizzati per opera- zioni di riciclaggio a favore di clienti italiani. In particolare, sul conto corrente IBAN n. 2 sono stati registrati accrediti per complessivi EUR 19'167'360.29 e addebiti per EUR 18'938'797.77. Tra quest’ultimi vi è un bonifico di EUR 148'500.– del 14 giugno 2013 a favore del conto litigioso dei ricorrenti (v. ibidem, pag. 12).</w:t>
      </w:r>
    </w:p>
    <w:p>
      <w:r>
        <w:t>Quanto precede soddisfa le esigenze normative e giurisprudenziali poste in ma- teria di esposto dei fatti. Sufficientemente chiaro risulta essere in ogni caso il motivo che ha indotto l’autorità rogante a chiedere di ottenere la documenta- zione litigiosa, legato al bonifico di cui sopra. Per il resto, non spetta al giudice dell'assistenza approfondire ulteriormente la fattispecie oggetto d'inchiesta, tan- tomeno ottenere le prove dei contestati reati (per quanto riguarda la fiscalità indiretta, v. infra consid. 4.1 in fine). Sarà proprio la documentazione litigiosa a permettere all'autorità estera di progredire nella sua attività investigativa e di acclarare ulteriormente le condotte mosse a carico dei soggetti indagati. Le cen- sure in questo ambito vanno dunque respinte.</w:t>
      </w:r>
    </w:p>
    <w:p>
      <w:r>
        <w:rPr>
          <w:b/>
        </w:rPr>
        <w:t>E. 4</w:t>
      </w:r>
    </w:p>
    <w:p>
      <w:r>
        <w:t>I ricorrenti censurano la violazione del principio della doppia punibilità. A loro dire, nella decisione impugnata sarebbe completamente assente la sussun- zione di reato. La rogatoria indicherebbe il reato di riciclaggio di denaro, senza tuttavia spiegare quale sia il reato a monte. Eventuali reati fiscali a monte, non qualificabili di truffa, non potrebbero in ogni caso adempiere il requisito di cui all’art. 305bis CP. Non si sarebbe neppure in presenza di una situazione in cui l’autorità rogata potrebbe eccezionalmente entrare nel merito di una domanda di assistenza basata su reati di carattere fiscale. In via subordinata, se dovesse sussistere un dubbio, i ricorrenti chiedono che si domandi un parere all’Ammi- nistrazione federale delle contribuzioni (in seguito: AFC) conformemente all’art. 24 cpv. 3 OAIMP.</w:t>
      </w:r>
    </w:p>
    <w:p>
      <w:r>
        <w:rPr>
          <w:b/>
        </w:rPr>
        <w:t>E. 4.1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w:t>
      </w:r>
    </w:p>
    <w:p>
      <w:r>
        <w:t>- 8 -</w:t>
      </w:r>
    </w:p>
    <w:p>
      <w:r>
        <w:t>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t>L'art. 2 lett. a CEAG permette di rifiutare l'assistenza giudiziaria quando la do- manda si riferisce a reati considerati dalla Parte richiesta come reati fiscali. Ciò è ribadito all'art. IV par. 2 Accordo italo-svizzero. Secondo l'art. 3 cpv. 3 AIMP, la domanda è irricevibile se il procedimento verte su un reato che sembra volto a una decurtazione di tributi fiscali o viola disposizioni in materia di provvedi- 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 niali (DTF 125 II 250 consid. 3a). La nozione d'inganno astuto corrisponde so- stanzialmente a quella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l’esistenza di un inganno astuto. In deter- minate circostanze anche false informazioni la cui verifica non è possibile, è difficile o non è ragionevolmente esigibile possono costituire un inganno astuto, come pure se il truffatore dissuade la vittima dall'effettuare una verifica o pre- vede, date le circostanze, che essa rinuncerà a farlo in virtù, segnatamente, di un particolare rapporto di fiducia (DTF 139 II 404 consid. 9.4; 137 IV 25 con- sid. 4.4.3.2 con rinvii; 135 IV 76 consid. 5.2; v. anche TPF 2008 128 con- 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w:t>
      </w:r>
    </w:p>
    <w:p>
      <w:r>
        <w:t>- 9 -</w:t>
      </w:r>
    </w:p>
    <w:p>
      <w:r>
        <w:t>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op. cit., n. 645 nota 884 pag. 700).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discriminante di rilievo (v. KOCHER, Commentario basilese, 2015, n. 121 e segg. ad art. 3 AIMP; UNSELD, Internationale Rechtshilfe im Steuerrecht: Akzes- sorische Rechtshilfe, Auslieferung und Vollstreckungshilfe bei Fiskaldelikten, 2011, pag. 135, 147 e seg.; sentenza del Tribunale penale federale RR.2010.262 dell’11 giugno 2012 consid. 1.2.2).</w:t>
      </w:r>
    </w:p>
    <w:p>
      <w:r>
        <w:rPr>
          <w:b/>
        </w:rPr>
        <w:t>E. 4.2</w:t>
      </w:r>
    </w:p>
    <w:p>
      <w:r>
        <w:t>Nella fattispecie, nella misura in cui il procedimento estero verte su reati legati all’utilizzo di fatture false finalizzate alla frode fiscale – si rileva a tal proposito che l’imputato E. “è stato deferito per il reato ex. Articolo 2 D. Lgs 74/2000 in qualità di rappresentante legale della O. Srl, per aver indicato nella dichiara- zione annuale ai fini IVA presentata per gli anni d’imposta 2006 e 2007, elementi passivi fittizi, avvalendosi di fatture soggettivamente inesistenti” (atto 1, pag. 10, incarto MP-TI) – e a operazioni di riciclaggio del relativo denaro movimentato (v. ibidem, pag. 10 e seg., nonché supra consid. 2.2), i fatti contestati agli inda- gati possono perlomeno essere sussunti ai reati di falsità in documenti (art. 251 CP) e truffa in materia fiscale (art. 14 cpv. 2 DPA), precisato trattarsi di fiscalità indiretta, per cui la condizione della doppia punibilità è ossequiata già solo per tale motivo. La censura va dunque disattesa.</w:t>
      </w:r>
    </w:p>
    <w:p>
      <w:r>
        <w:rPr>
          <w:b/>
        </w:rPr>
        <w:t>E. 5</w:t>
      </w:r>
    </w:p>
    <w:p>
      <w:r>
        <w:t>Gli insorgenti sostengono che la decisione impugnata violi il principio della pro- porzionalità e il divieto della fishing expedition, nella misura in cui la documen- tazione litigiosa sarebbe totalmente inutile per far avanzare il procedimento estero.</w:t>
      </w:r>
    </w:p>
    <w:p>
      <w:r>
        <w:rPr>
          <w:b/>
        </w:rPr>
        <w:t>E. 5.1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w:t>
      </w:r>
    </w:p>
    <w:p>
      <w:r>
        <w:t>- 10 -</w:t>
      </w:r>
    </w:p>
    <w:p>
      <w:r>
        <w:t>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w:t>
      </w:r>
    </w:p>
    <w:p>
      <w:r>
        <w:t>- 11 -</w:t>
      </w:r>
    </w:p>
    <w:p>
      <w:r>
        <w:t>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723, pag. 798 e seg.). Vie- tata è per contro la cosiddetta fishing expedition, la quale è definita dalla giuri- sprudenza una ricerca generale e indeterminata di mezzi di prova volta a fon- 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5.2</w:t>
      </w:r>
    </w:p>
    <w:p>
      <w:r>
        <w:t>Nella fattispecie, l'utilità potenziale della documentazione litigiosa è certamente data. L’autorità rogante ha infatti individuato un bonifico di EUR 148'500.– a favore del conto litigioso dei ricorrenti proveniente da un conto della K. SA, so- cietà implicata nei fatti oggetto d’indagine all’estero (v. atto 1, pag. 11, incarto MP-TI). Le autorità estere devono poter accedere a tutta la documentazione riguardante il conto dei ricorrenti, al fine di ricostruire i flussi che lo hanno toc- cato e che possono essere utili per chiarire i fatti oggetto d’indagine in Italia. Spetterà per il resto al giudice estero del merito chinarsi sulle contestazioni dei fatti e/o reati formulate dai ricorrenti nonché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 e non costituisce una ricerca esplorativa e indiscriminata di prove.</w:t>
      </w:r>
    </w:p>
    <w:p>
      <w:r>
        <w:rPr>
          <w:b/>
        </w:rPr>
        <w:t>E. 6</w:t>
      </w:r>
    </w:p>
    <w:p>
      <w:r>
        <w:t>In conclusione, nella misura della sua ammissibilità, il ricorso va respinto e la decisione impugnata confermata.</w:t>
      </w:r>
    </w:p>
    <w:p>
      <w:r>
        <w:t>- 12 -</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6'000.–, a carico dei ricorrenti in so- lido; essa è coperta dall'anticipo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