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 vom 31. Januar 2022</w:t>
      </w:r>
    </w:p>
    <w:p>
      <w:r>
        <w:t>Bundesstrafgericht, 2022-01-31, FR</w:t>
      </w:r>
    </w:p>
    <w:p>
      <w:r>
        <w:rPr>
          <w:b/>
        </w:rPr>
        <w:t xml:space="preserve">Quelle: </w:t>
      </w:r>
      <w:r>
        <w:t>https://mcp.opencaselaw.ch/entscheid/bstger_RR.2022.1</w:t>
      </w:r>
    </w:p>
    <w:p>
      <w:r>
        <w:t>FR: TPF RR.2022.1 du 31 janvier 2022</w:t>
      </w:r>
    </w:p>
    <w:p>
      <w:r>
        <w:t>IT: TPF RR.2022.1 del 31 gennaio 2022</w:t>
      </w:r>
    </w:p>
    <w:p>
      <w:pPr>
        <w:pStyle w:val="Heading2"/>
      </w:pPr>
      <w:r>
        <w:t>Regeste</w:t>
      </w:r>
    </w:p>
    <w:p>
      <w:r>
        <w:t>Entraide judiciaire internationale en matière pénale à la France; séquestre de moyens de preuve (art. 63 al. 2 let. b EIMP)</w:t>
      </w:r>
    </w:p>
    <w:p>
      <w:pPr>
        <w:pStyle w:val="Heading2"/>
      </w:pPr>
      <w:r>
        <w:t>Erwägungen</w:t>
      </w:r>
    </w:p>
    <w:p>
      <w:r>
        <w:rPr>
          <w:b/>
        </w:rPr>
        <w:t>E. 22</w:t>
      </w:r>
    </w:p>
    <w:p>
      <w:r>
        <w:t>décembre 2021 comme une décision de refus de lever le séquestre litigieux d’objets et autres valeurs patrimoniales (act. 1.1 et 1.9), cette dernière ne met pas un terme à la procédure de saisie, de sorte qu’elle est assimilée à une décision incidente (v. TPF 2007 124 consid. 2);  le séquestre entrepris a été prononcé fin mars 2021 (v. supra); il n’est dès lors pas possible de parler d’une mesure qui dure dans le temps, de sorte qu’il convient d’admettre qu’elle est proportionnée dans la durée (v. TPF 2007 124; arrêt du Tribunal pénal fédéral RR.2020.329-330 du 11 mai 2021 consid. 3.2 s. et les réf. citées);  il s’ensuit que la décision tendant au refus de lever le séquestre ne peut être assimilée à une décision de clôture sui generis, mais bien à une décision incidente antérieure à la décision de clôture;</w:t>
      </w:r>
    </w:p>
    <w:p>
      <w:r>
        <w:t>- 5 -</w:t>
      </w:r>
    </w:p>
    <w:p>
      <w:r>
        <w:t> le délai de recours contre une décision incidente est de dix jours dès la communication écrite de celle-ci (art. 80k EIMP); déposé dans les délais, le recours l'a été en temps utile;  à teneur de l'art. 80e al. 2 EIMP, les décisions incidentes antérieures à la décision de clôture ne sont attaquables séparément qu'en cas de préjudice immédiat et irréparable découlant de la saisie d'objets ou de valeurs (let. a);</w:t>
      </w:r>
    </w:p>
    <w:p>
      <w:r>
        <w:t> la notion de préjudice immédiat et irréparable au sens de la disposition précitée doit être interprétée de manière restrictive (arrêts du Tribunal pénal fédéral RR.2021.219-221+RR.2021.230-232 du 3 novembre 2021; RR.2018.90-92 du 29 mars 2018; RR.2007.131 du 27 novembre 2007 consid. 2.1 et la jurisprudence citée);</w:t>
      </w:r>
    </w:p>
    <w:p>
      <w:r>
        <w:t> le prononcé d'un séquestre ne crée pas ipso facto un dommage immédiat et irréparable ouvrant la voie du recours; pour que la condition de l'art. 80e al. 2 EIMP soit remplie, il faut que la personne touchée rende vraisemblable que la mesure qu'elle critique lui cause un tel dommage et en quoi celui-ci pourrait être évité par l'annulation de la décision attaquée (ATF 128 II 211 consid. 2.1; arrêt du Tribunal pénal fédéral RR.2021.219-221+RR.2021.230- 232 du 3 novembre 2021); la preuve du dommage implique de produire des documents à l’appui de ses conclusions, des allégations générales ne suffisent pas à cet égard (arrêt du Tribunal fédéral 1A.130/2006 du 28 juillet 2006 consid. 1.2 et 1.3; ZIMMERMANN, op. cit., n. 512, p. 545);  la Cour de céans a déjà eu l'occasion de préciser qu'il incombe en particulier au plaideur d'indiquer, dans l'acte de recours, en quoi consiste le préjudice prétendument subi et pourquoi ce préjudice ne serait pas totalement prévenu par un arrêt annulant, le cas échéant, la décision de clôture qui interviendra ultérieurement (arrêts du Tribunal pénal fédéral RR.2021.219- 221+RR.2021.230-232 précité; RR.2015.319 du 7 janvier 2016); un tel préjudice doit être immédiat c'est-à-dire imparable (ZIMMERMANN, op. cit., n. 512, p. 544) et consiste par exemple dans l'impossibilité de satisfaire à des obligations échues (paiement de salaires, intérêts, impôts, prétentions exigibles, etc.), dans le fait d'être exposé à des actes de poursuite ou de faillite ou encore à la révocation d'une autorisation administrative, ou dans l'impossibilité de conclure des affaires sur le point d'aboutir; cependant, la seule nécessité de faire face à des dépenses administratives courantes ne suffit pas, en règle générale, à rendre vraisemblable un préjudice immédiat et irréparable (ATF 130 II 329 consid. 2; 128 II 353 consid. 3); de même, le recourant doit rendre vraisemblable qu'il ne dispose pas d'autres ressources financières en suffisance pour faire face à ses obligations (v. arrêt du Tribunal fédéral 1A.130/2006 précité consid. 1.3; arrêts du Tribunal pénal fédéral RR.2015.319 précité; RR.2009.155 du 7 mai 2009, consid. 2.5.1);</w:t>
      </w:r>
    </w:p>
    <w:p>
      <w:r>
        <w:t>- 6 -</w:t>
      </w:r>
    </w:p>
    <w:p>
      <w:r>
        <w:t> en l'occurrence, le recourant soutient en substance que la mesure de séquestre visant les bracelets et montres de luxe en cause engendrerait une atteinte économique importante puisque leur valeur, extrêmement volatile en raison de l’effet de mode, risquerait de chuter (act. 1, p. 11 s.);  ce faisant, il ne spécifie pourtant pas en quoi consiste concrètement le préjudice immédiat et irréparable auquel il se trouve confronté et n’apporte aucune pièce à l’appui de ses allégations, ni même de ses droits;  sur la base de la jurisprudence précitée, ces éléments sont partant insuffisants pour admettre l'existence d'un tel préjudice au sens de l'art. 80e al. 2 EIMP, de sorte qu’il convient de prononcer l’irrecevabilité du recours sur ce point également;  Il s’ensuit que le maintien du séquestre prononcé dans le cadre de la décision litigieuse, est conforme au droit; la Cour de céans rappelle en outre qu'aux termes de l'art. 33a OEIMP, les objets et valeurs dont la remise à l'Etat requérant est subordonnée à une décision définitive et exécutoire de ce dernier (art. 74a al. 1 et 3 en lien avec l’art. 80d EIMP) demeurent saisis dans leur ensemble jusqu'à réception de ladite décision ou jusqu'à ce que l'Etat requérant ait fait savoir à l'autorité d'exécution compétente qu'une telle décision ne pouvait plus être rendue selon son propre droit, notamment en raison de la prescription;  il résulte du présent prononcé d’irrecevabilité que la requête formulée à titre subsidiaire par le recourant et tendant à avoir accès à l’entier de la procédure est devenue sans objet;</w:t>
      </w:r>
    </w:p>
    <w:p>
      <w:r>
        <w:t> vu l'issue du litige, la Cour de céans a renoncé à procéder à un échange d'écritures (art. 57 al. 1 a contrario de la loi du 20 décembre 1968 sur la procédure administrative [PA; RS 172.021] applicable par renvoi de l'art. 39 al. 2 let. b LOAP, ainsi que de l'art. 12 al. 1 EIMP]);</w:t>
      </w:r>
    </w:p>
    <w:p>
      <w:r>
        <w:t> en règle générale, les frais de procédure comprenant l'émolument d'arrêt, les émoluments de chancellerie et les débours sont mis à la charge de la partie qui succombe (art. 63 PA, applicable par renvoi de l'art. 39 LOAP);</w:t>
      </w:r>
    </w:p>
    <w:p>
      <w:r>
        <w:t> en tant que partie qui succombe, le recourant supportera les frais du présent arrêt ascendant à CHF 2'000.-- (v. art. 8 al. 3 du règlement du 31 août 2012 du Tribunal pénal fédéral sur les frais, émoluments, dépens, et indemnités de la procédure pénale fédérale [RFPPF; RS 173.713.162] et art. 63 al. 4bis let. b PA), lesquels sont entièrement couverts par l'avance de frais déjà acquittée; la caisse du Tribunal pénal fédéral restituera au recourant le solde par CHF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