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RR.2021.96 vom 1. Juli 2022</w:t>
      </w:r>
    </w:p>
    <w:p>
      <w:r>
        <w:t>Bundesstrafgericht, 2022-07-01, DE</w:t>
      </w:r>
    </w:p>
    <w:p>
      <w:r>
        <w:rPr>
          <w:b/>
        </w:rPr>
        <w:t xml:space="preserve">Quelle: </w:t>
      </w:r>
      <w:r>
        <w:t>https://mcp.opencaselaw.ch/entscheid/bstger_RR.2021.96</w:t>
      </w:r>
    </w:p>
    <w:p>
      <w:r>
        <w:t>FR: TPF RR.2021.96 du 1 juillet 2022</w:t>
      </w:r>
    </w:p>
    <w:p>
      <w:r>
        <w:t>IT: TPF RR.2021.96 del 1 luglio 2022</w:t>
      </w:r>
    </w:p>
    <w:p>
      <w:pPr>
        <w:pStyle w:val="Heading2"/>
      </w:pPr>
      <w:r>
        <w:t>Regeste</w:t>
      </w:r>
    </w:p>
    <w:p>
      <w:r>
        <w:t>Internationale Rechtshilfe in Strafsachen an Luxemburg; Beschlagnahme von Vermögenswerten (Art. 80e Abs. 2 lit. a IRSG)</w:t>
      </w:r>
    </w:p>
    <w:p>
      <w:pPr>
        <w:pStyle w:val="Heading2"/>
      </w:pPr>
      <w:r>
        <w:t>Erwägungen</w:t>
      </w:r>
    </w:p>
    <w:p>
      <w:r>
        <w:rPr>
          <w:b/>
        </w:rPr>
        <w:t>E. 1</w:t>
      </w:r>
    </w:p>
    <w:p>
      <w:r>
        <w:t>Die Beschwerde wurde frist- und formgerecht erhoben und die Kontoinhabe- rin ist zur Beschwerde gegen die Kontosperre legitimiert. Auf die Be- schwerde ist einzutreten.</w:t>
      </w:r>
    </w:p>
    <w:p>
      <w:r>
        <w:rPr>
          <w:b/>
        </w:rPr>
        <w:t>E. 2.1</w:t>
      </w:r>
    </w:p>
    <w:p>
      <w:r>
        <w:t>Die Staatsanwaltschaft III des Kantons Zürich hob am 4. Juni 2021 die Kon- tosperren auf der Bankverbindung der A. AG bei der Bank E. AG auf. Sie begründet dies damit, dass sich auf dem einen Konto keine Vermögenswerte befinden und auf den anderen keine Deliktserlöse liegen (act. 5.1). Damit ist das vorliegende Beschwerdeverfahren gegenstandslos geworden und ent- sprechend von der Geschäftskontrolle abzuschreiben.</w:t>
      </w:r>
    </w:p>
    <w:p>
      <w:r>
        <w:rPr>
          <w:b/>
        </w:rPr>
        <w:t>E. 2.2</w:t>
      </w:r>
    </w:p>
    <w:p>
      <w:r>
        <w:t>Vorliegend führten materielle Gründe zur Aufhebung der Kontosperren und damit zur Gegenstandslosigkeit des vorliegenden Verfahrens. Die Be- schwerde wäre damit mutmasslich berechtigt gewesen, was nach der kon- stanten Praxis der Beschwerdekammer (vgl. Entscheid des Bundesstrafge- richts RR.2019.176 vom 3. Dezember 2019 E. 2.2) dazu führt, dass keine Gerichtskosten erhoben werden und eine Prozessentschädigung zuzuspre- chen ist (vgl. Art. 63 Abs. 1 und 3 VwVG; Art. 64 Abs. 1 VwVG i.V.m. Art. 73 StBOG und Art. 10 und 12 Abs. 1 und 2 des Reglements des Bundesstraf- gerichts vom 31. August 2010 über die Kosten, Gebühren und Entschädi- gungen in Bundesstrafverfahren; BStKR, SR 173.713.162). Der Beschwer- deführerin ist vorliegend eine angemessene Entschädigung (vgl. BGE 125 II 518 E 5b S. 520) von pauschal Fr. 2'100.-- zuzusprechen.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