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RR.2021.92 vom 4. August 2021</w:t>
      </w:r>
    </w:p>
    <w:p>
      <w:r>
        <w:t>Bundesstrafgericht, 2021-08-04, IT</w:t>
      </w:r>
    </w:p>
    <w:p>
      <w:r>
        <w:rPr>
          <w:b/>
        </w:rPr>
        <w:t xml:space="preserve">Quelle: </w:t>
      </w:r>
      <w:r>
        <w:t>https://mcp.opencaselaw.ch/entscheid/bstger_RR.2021.92</w:t>
      </w:r>
    </w:p>
    <w:p>
      <w:r>
        <w:t>FR: TPF RR.2021.92 du 4 août 2021</w:t>
      </w:r>
    </w:p>
    <w:p>
      <w:r>
        <w:t>IT: TPF RR.2021.92 del 4 agosto 2021</w:t>
      </w:r>
    </w:p>
    <w:p>
      <w:pPr>
        <w:pStyle w:val="Heading2"/>
      </w:pPr>
      <w:r>
        <w:t>Regeste</w:t>
      </w:r>
    </w:p>
    <w:p>
      <w:r>
        <w:t>Assistenza giudiziaria internazionale in materia penale all'Italia. Sequestro di valori (art. 80e cpv. 2 lett. 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w:t>
      </w:r>
    </w:p>
    <w:p>
      <w:r>
        <w:t>- 5 -</w:t>
      </w:r>
    </w:p>
    <w:p>
      <w:r>
        <w:t>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 vore), si applicano la legge sull'assistenza in materia penale, unitamente alla relativa ordinanza (OAIMP; RS 351.11; v. art. 1 cpv. 1 AIMP, art. I n. 2 Accordo italo-svizzero; DTF 142 IV 250 consid. 3; 140 IV 123 consid. 2; 137 IV 33 con- sid. 2.2.2; 136 IV 82 consid. 3.1). Il principio di favore vale anche nell'applica- zione delle pertinenti norme di diritto internazionale (v. art. 48 n. 2 CAS, 39 n. 3 CRic e art. I n. 2 Accordo italo-svizzero). È fatto salvo il rispetto dei diritti fonda- mentali (DTF 135 IV 212 consid. 2.3; 123 II 595 consid. 7c).</w:t>
      </w:r>
    </w:p>
    <w:p>
      <w:r>
        <w:rPr>
          <w:b/>
        </w:rPr>
        <w:t>E. 1.3</w:t>
      </w:r>
    </w:p>
    <w:p>
      <w:r>
        <w:t>Il ricorso è stato tempestivamente interposto contro due decisioni di blocco di conti bancari dell’autorità federale d’esecuzione (v. art. 80k AIMP). Le decisioni incidentali anteriori alla decisione di chiusura possono essere impugnate sepa- ratamente se causano un pregiudizio immediato e irreparabile mediante il se- questro di beni e valori oppure la presenza di persone che partecipano al pro- cesso (art. 80e cpv. 2 AIMP). Le ricorrenti sono legittimate a ricorrere ognuna per il conto di cui risulta essere intestataria (v. art. 80h lett. b AIMP, art. 9a lett. a OAIMP; DTF 137 IV 134 consid. 6.1; 118 Ib 547 consid. 1d; TPF 2007 79 con- sid. 1.6 pag. 82).</w:t>
      </w:r>
    </w:p>
    <w:p>
      <w:r>
        <w:rPr>
          <w:b/>
        </w:rPr>
        <w:t>E. 2</w:t>
      </w:r>
    </w:p>
    <w:p>
      <w:r>
        <w:t>Questa Corte constata innanzitutto che il MPC, con tre nuove decisioni del 18 giugno 2021, ha di fatto accolto parzialmente le conclusioni ricorsuali. Esso ha infatti così fissato, come richiesto anche dall’autorità rogante nel suo com- plemento del 15 febbraio 2021 (v. act. 1.8), gli importi da mantenere sotto se- questro: EUR 963'560.– sul conto n. 1 presso la banca K. intestato ad A.; EUR 136'890.– sul conto n. 3 presso la banca L. intestato a M. e EUR 233'260.– sul conto n. 2 presso la banca L. intestato a B. (v. act. 8, pag. 1 e seg.). Su quanto precede, il ricorso è divenuto quindi privo d’oggetto. Litigiosa rimane quindi unicamente la questione legata ai proventi illeciti derivanti dalla banca- rotta fraudolenta a danno della società I. S.r.l.</w:t>
      </w:r>
    </w:p>
    <w:p>
      <w:r>
        <w:t>- 6 -</w:t>
      </w:r>
    </w:p>
    <w:p>
      <w:r>
        <w:rPr>
          <w:b/>
        </w:rPr>
        <w:t>E. 3.1</w:t>
      </w:r>
    </w:p>
    <w:p>
      <w:r>
        <w:t>In base alla giurisprudenza, nel caso di ricorsi rivolti contro decisioni incidentali ai sensi dell'art. 80e cpv. 2 AIMP (v. supra consid. 1.3),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3.2</w:t>
      </w:r>
    </w:p>
    <w:p>
      <w:r>
        <w:t>In concreto, occorre rilevare che i ricorrenti hanno censurato esclusivamente l’entità dei valori patrimoniali provenienti dalla bancarotta fraudolenta com- messa ai danni di I. S.r.l., a loro dire di EUR 965'000.– e non di EUR 2'009'158.31. Occorre qui premettere che nel complemento rogatoriale del 15 febbraio 2021 la Corte d’appello di Brescia ha sì indicato EUR 1'333'710.– quale importo da confiscare nei confronti di G. nell’ambito della condanna di quest’ultimo (v. act. 1.8), ma ha pure dichiarato nel complemento rogatoriale del 15 giugno 2020 che le distrazioni perpetrate a danno di I. S.r.l. ammontano a EUR 2'009'158 (v. ibidem). Senza dimenticare che anche la Procura di Ber- gamo è interessata ai beni sotto sequestro in Svizzera (v. sentenza del Tribu- nale penale federale RR.2017.340 del 29 marzo 2018 Fatti lett. B). Ciò detto, si rileva che le censure presentate dai ricorrenti avverso i contestati sequestri ri- sultano premature, precisato che le stesse non permettono in ogni caso di con- cludere che la rogatoria è manifestamente inammissibile (v. DTF 121 II 241 consid. 3; sentenza del Tribunale federale 1A.258/2006 del 16 febbraio 2007 consid. 2.3). Per il resto, le ricorrenti non hanno né invocato problemi economici derivanti dai contestati sequestri tantomeno prodotto documentazione a dimo- strazione degli stessi. A queste condizioni, risulta impossibile per questa Corte valutare se esiste o meno un pregiudizio immediato e irreparabile ai sensi della giurisprudenza sopraccitata. Quanto precede non pregiudica naturalmente l’esito dei gravami interposti dalle ricorrenti avverso le già citate decisioni di consegna del 1° luglio 2021 (v. supra Fatti lett. H), gravami che sottostanno peraltro a diverse condizioni di ricevibilità.</w:t>
      </w:r>
    </w:p>
    <w:p>
      <w:r>
        <w:t>- 7 -</w:t>
      </w:r>
    </w:p>
    <w:p>
      <w:r>
        <w:rPr>
          <w:b/>
        </w:rPr>
        <w:t>E. 4</w:t>
      </w:r>
    </w:p>
    <w:p>
      <w:r>
        <w:t>Da quanto sopra discende che il ricorso, nella misura in cui non è divenuto privo d’oggetto, è inammissibile per la mancata dimostrazione dell’esistenza di un pregiudizio immediato e irreparabile giusta l'art. 80e cpv. 2 lett. a AIMP.</w:t>
      </w:r>
    </w:p>
    <w:p>
      <w:r>
        <w:rPr>
          <w:b/>
        </w:rPr>
        <w:t>E. 5.1</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com- plessivi fr. 2'000.– a carico delle ricorrenti in solido. Essa è coperta dall'anticipo delle spese già versato. La Cassa del Tribunale restituirà alle ricorrenti il saldo di fr. 3'000.–.</w:t>
      </w:r>
    </w:p>
    <w:p>
      <w:r>
        <w:rPr>
          <w:b/>
        </w:rPr>
        <w:t>E. 5.2</w:t>
      </w:r>
    </w:p>
    <w:p>
      <w:r>
        <w:t>Visto che il ricorso è divenuto parzialmente privo d’oggetto per riconoscimento esplicito di un errore da parte dell’autorità d’esecuzione, si giustifica l’assegna- zione ex bono et aequo di una somma di fr. 2'000.– a titolo di ripetibili a carico del MPC (v. art. 64 cpv. 1 PA).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