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RR.2021.90 vom 7. September 2021</w:t>
      </w:r>
    </w:p>
    <w:p>
      <w:r>
        <w:t>Bundesstrafgericht, 2021-09-07, IT</w:t>
      </w:r>
    </w:p>
    <w:p>
      <w:r>
        <w:rPr>
          <w:b/>
        </w:rPr>
        <w:t xml:space="preserve">Quelle: </w:t>
      </w:r>
      <w:r>
        <w:t>https://mcp.opencaselaw.ch/entscheid/bstger_RR.2021.90</w:t>
      </w:r>
    </w:p>
    <w:p>
      <w:r>
        <w:t>FR: TPF RR.2021.90 du 7 septembre 2021</w:t>
      </w:r>
    </w:p>
    <w:p>
      <w:r>
        <w:t>IT: TPF RR.2021.90 del 7 settembre 2021</w:t>
      </w:r>
    </w:p>
    <w:p>
      <w:pPr>
        <w:pStyle w:val="Heading2"/>
      </w:pPr>
      <w:r>
        <w:t>Regeste</w:t>
      </w:r>
    </w:p>
    <w:p>
      <w:r>
        <w:t>Assistenza giudiziaria internazionale in materia penale all'Ecuador.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dell’Ecua- dor e la Confederazione Svizzera sono anzitutto retti dal Trattato di assistenza giudiziaria in materia penale (in seguito: Trattato) concluso il 4 luglio 1997 ed entrato in vigore il 19 gennaio 1999 (RS 0.351.932.7). Di rilievo nella fattispecie è anche l’art. 46 della Convenzione delle Nazioni Unite contro la corruzione (in seguito: UNCAC), conclusa il 31 ottobre 2003, entrata in vigore per l’Ecuador il 14 dicembre 2005 e per la Svizzera il 24 ottobre 2009 (RS 0.311.56). Alle que- stioni che il prevalente diritto internazionale contenuto in detti trattati non regola espressamente o implicitamente, come pure quando il diritto nazionale sia più favorevole all'assistenza rispetto a quello pattizio (cosiddetto principio di fa- vore), si applica la legge sull'assistenza in materia penale, unitamente alla rela- tiva ordinanza (OAIMP; RS 351.11; v. art. 1 cpv. 1 AIMP; DTF 145 IV 294 con- sid. 2.1; 142 IV 250 consid. 3; 140 IV 123 consid. 2; 137 IV 33 consid. 2.2.2; 136 IV 82 consid. 3.1). Il principio di favore vale anche nell'applicazione delle pertinenti norme di diritto internazionale. È fatto salvo il rispetto dei diritti fonda- mentali (DTF 145 IV 294 consid. 2.1; 135 IV 212 consid. 2.3; 123 II 595 con- 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 22 aprile 2021, il ricorso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consid. 2.3; TPF 2007 79 consid. 1.6 pag. 82).</w:t>
      </w:r>
    </w:p>
    <w:p>
      <w:r>
        <w:rPr>
          <w:b/>
        </w:rPr>
        <w:t>E. 2</w:t>
      </w:r>
    </w:p>
    <w:p>
      <w:r>
        <w:t>La ricorrente sostiene che, essendo i fatti corruttivi alla base della rogatoria già stati giudicati in Ecuador con sentenza del 23 gennaio 2018 divenuta definitiva, la domanda di assistenza sarebbe da respingere in virtù del principio ne bis in idem. Essa produce parimenti tre decisioni estere che attesterebbero l’impro- ponibilità di altre iniziative giudiziarie in Ecuador concernenti il reato di riciclag- gio. Verrebbe dunque a mancare un interesse meritevole di protezione in capo allo Stato richiedente.</w:t>
      </w:r>
    </w:p>
    <w:p>
      <w:r>
        <w:rPr>
          <w:b/>
        </w:rPr>
        <w:t>E. 2.1</w:t>
      </w:r>
    </w:p>
    <w:p>
      <w:r>
        <w:t>Secondo il principio ne bis in idem, nessuno può essere perseguito o punito per fatti per i quali è già stato assolto o condannato da una sentenza definitiva. Nel campo dell’assistenza internazionale con il Paese qui in esame, tale principio è retto dall’art. 3 n. 1 lett. c del Trattato. Secondo questa disposizione l’assistenza giudiziaria può essere negata se la domanda si riferisce a fatti in base ai quali una persona è stata definitivamente assolta o condannata nello Stato richiesto per un reato sostanzialmente simile e, nel caso sia stata inflitta una pena, que- sta sia in corso di esecuzione o sia già stata eseguita. Si tratta di una disposi- zione che in virtù dei principi esposti sopra al consid. 1.2 prevale sia sull’art. 5 cpv. 1 lett. a che sull’art. 66 AIMP (v. sentenza del Tribunale penale federale RR.2008.172 del 17 febbraio 2009 consid. 4.1; ZIMMERMANN, La coopération judiciaire internationale en matière pénale, 5a ediz. 2019, n. 664 pag. 723).</w:t>
      </w:r>
    </w:p>
    <w:p>
      <w:r>
        <w:rPr>
          <w:b/>
        </w:rPr>
        <w:t>E. 2.2</w:t>
      </w:r>
    </w:p>
    <w:p>
      <w:r>
        <w:t>In concreto, a sostegno della sua censura, la ricorrente ha prodotto una sen- tenza del 23 gennaio 2018 emanata dalla Corte national de justicia del Ecuador – Sala especializada de lo penal, penal militar, penal policial y tránsito nella causa n. 2 concernente G., H. e I. (v. allegato ad act. 1.5), quest’ultimo avente diritto economico del conto litigioso, nonché tre altre decisioni estere (v. act. 1.11, 1.12 e 1.13), ma non allega l’esistenza di una sentenza svizzera cresciuta in giudicato emanata nei suoi confronti per i medesimi fatti oggetto dell’inchiesta estera, per cui la censura non merita ulteriore disamina. Essa dovrà essere fatta valere dinanzi al giudice estero del merito, sola autorità competente per statuire</w:t>
      </w:r>
    </w:p>
    <w:p>
      <w:r>
        <w:t>- 5 -</w:t>
      </w:r>
    </w:p>
    <w:p>
      <w:r>
        <w:t>sulla questione. L’autorità rogante non ha del resto dichiarato sino ad oggi di voler ritirare la propria rogatoria, per cui secondo giurisprudenza non vi è ra- gione di rifiutare l’assistenza nemmeno sotto questo profilo (v. DTF 113 Ib con- sid. 5a; sentenze del Tribunale penale federale RR.2019.19 dell’11 maggio 2021 consid. 3; RR.2007.99 del 10 settembre 2007 consid. 5; ZIMMERMANN, op. cit., n. 305). Visto quanto precede, non vi è ragione di dare seguito neppure alla richiesta di incaricare il MPC di ulteriori chiarimenti presso l’autorità rogante.</w:t>
      </w:r>
    </w:p>
    <w:p>
      <w:r>
        <w:rPr>
          <w:b/>
        </w:rPr>
        <w:t>E. 3</w:t>
      </w:r>
    </w:p>
    <w:p>
      <w:r>
        <w:t>In conclusione, il ricorso va respinto e la decisione impugnata confermata.</w:t>
      </w:r>
    </w:p>
    <w:p>
      <w:r>
        <w:rPr>
          <w:b/>
        </w:rPr>
        <w:t>E. 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