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RR.2021.8 vom 29. April 2021</w:t>
      </w:r>
    </w:p>
    <w:p>
      <w:r>
        <w:t>Bundesstrafgericht, 2021-04-29, IT</w:t>
      </w:r>
    </w:p>
    <w:p>
      <w:r>
        <w:rPr>
          <w:b/>
        </w:rPr>
        <w:t xml:space="preserve">Quelle: </w:t>
      </w:r>
      <w:r>
        <w:t>https://mcp.opencaselaw.ch/entscheid/bstger_RR.2021.8</w:t>
      </w:r>
    </w:p>
    <w:p>
      <w:r>
        <w:t>FR: TPF RR.2021.8 du 29 avril 2021</w:t>
      </w:r>
    </w:p>
    <w:p>
      <w:r>
        <w:t>IT: TPF RR.2021.8 del 29 aprile 2021</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Di rilievo nella fattispecie è anche la Convenzione delle Nazioni Unite contro la corruzione (in seguito: UNCAC), con- clusa il 31 ottobre 2003, entrata in vigore per il Brasile il 14 dicembre 2005 e per la Svizzera il 24 ottobre 2009 (RS 0.311.56), in particolare gli art. 43 e segg. Alle questioni che il prevalente diritto internazionale non regola espressamente o implicitamente, come pure quando il diritto nazionale sia più favorevole all'as- 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consid. 3; 140 IV 123 consid. 2; 137 IV 33 consid. 2.2.2; 136 IV 82 consid. 3.1; 135 IV 212 consid. 2.3).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t>- 4 -</w:t>
      </w:r>
    </w:p>
    <w:p>
      <w:r>
        <w:rPr>
          <w:b/>
        </w:rPr>
        <w:t>E. 1.4</w:t>
      </w:r>
    </w:p>
    <w:p>
      <w:r>
        <w:t>Interposto tempestivamente contro la decisione di chiusura dell’11 dicembre 2020, il ricorso è ricevibile sotto il profilo degli art. 25 cpv. 1, 80e cpv. 1 e 80k AIMP.</w:t>
      </w:r>
    </w:p>
    <w:p>
      <w:r>
        <w:rPr>
          <w:b/>
        </w:rPr>
        <w:t>E. 1.5.1</w:t>
      </w:r>
    </w:p>
    <w:p>
      <w:r>
        <w:t>La ricevibilità del gravame presuppone anche la legittimazione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 informazioni su un conto bancario è considerato personalmente e direttamente toccato il titolare del conto (v. art. 9a lett. a OAIMP), mentre l’inte- ressato toccato solo in maniera indiretta, come ad esempio il mero avente diritto economico di un conto bancario, non può impugnare tali provvedimenti (DTF 139 II 404 consid. 2.1.1; 122 II 130 consid. 2b; TPF 2008 172 consid. 1.3). Eccezionalmente, la qualità per ricorrere è riconosciuta all'avente diritto econo- mico di una società titolare di un conto quando la stessa è disciolta, riservato l'abuso di diritto (DTF 137 IV 134 consid. 5.2.1; 123 II 153 consid. 2c e d). In questo caso, tocca all'avente diritto economico dimostrare anzitutto la liquida- zione della società mediante documentazione ufficiale (sentenze del Tribunale federale 1A.10/2000 del 18 maggio 2000 consid. 1e, in Praxis 2000 n° 133 pag. 790 e segg.; 1A.131/1999 del 26 agosto 1999 consid. 3). Egli deve inoltre di- mostrare attraverso questa stessa documentazione oppure mediante altre prove di essere il beneficiario dello scioglimento della società in quanto tale (sentenza del Tribunale federale 1C_370/2012 del 3 ottobre 2012 consid. 2.7; sentenze del Tribunale penale federale RR.2012.257 del 2 luglio 2013 con- sid. 1.2.1; RR.2012.252 del 7 giugno 2013 consid. 2.2.1) e quindi non sempli- cemente di un suo conto bancario (TPF 2009 183 consid. 2.2.2).</w:t>
      </w:r>
    </w:p>
    <w:p>
      <w:r>
        <w:rPr>
          <w:b/>
        </w:rPr>
        <w:t>E. 1.5.2</w:t>
      </w:r>
    </w:p>
    <w:p>
      <w:r>
        <w:t>In concreto, il ricorrente sostiene di essere il beneficiario economico della di- sciolta D. Ltd e quindi legittimato a ricorrere contro la decisione impugnata. Ora, se è vero che D. Ltd è stata disciolta il 24 febbraio 2017 (v. act. 2.1), la restante documentazione prodotta dal ricorrente non permette di concludere che egli sia il beneficiario dello scioglimento della società in quanto tale. Egli si limita infatti a produrre documentazione concernente l’apertura della relazione bancaria n. 1 D. LTD (act. 1.5), risalente al 2010, nonché una recente corrispondenza di uno studio legale brasiliano che dimostrerebbe “gli sforzi di raccolta della banca E.” verso tre partner “in riferimento ad un contratto di acquisto e vendita di quote del 27 luglio 2015” (act. 1 pag. 6) e “l’istruzione originale di D. LTD di addebitare</w:t>
      </w:r>
    </w:p>
    <w:p>
      <w:r>
        <w:t>- 5 -</w:t>
      </w:r>
    </w:p>
    <w:p>
      <w:r>
        <w:t>il ricavato dal suo conto banca E. per pagare parzialmente banca E. per il Put”, risalente al 23 gennaio 2017 e che sarebbe stata eseguita nel maggio 2020 (act. 1 pag. 7, act. 1.8), ma non si comprende come da tali documenti si possano dedurre argomenti a sostegno della sua legittimazione ricorsuale. Se in effetti la giurisprudenza ammette anche altre prove rispetto all’atto di dissoluzione della società per stabilire chi è il beneficiario effettivo della liquidazione, ciò non toglie che si chiedano quanto meno dei formulari bancari oppure degli avvisi di addebito/accredito dai quali risulti che il saldo degli attivi della società liquidata è stato trasferito su un conto di cui è titolare l’avente diritto economico (v. i rife- rimenti in CAPPA, Averi societari sotto sequestro: res nullius?, in: forumpoenale 2018, pag. 45). Nulla di tutto ciò nel caso concreto, nonostante lo scioglimento della società risalga al 2017 per cui difficilmente si può parlare di “una prova eccessivamente onerosa” (così in determinati casi secondo CAPPA, ibidem), considerato che un effettivo versamento di tutti gli averi societari a favore del ricorrente non può che avere lasciato una traccia documentale ancora agevol- mente ricostruibile dopo quattro anni. Invece l’unico documento in cui si fa men- zione di un presunto ordine di trasferimento di 34'000 USD è antecedente allo scioglimento della società ed è di difficile interpretazione vista l’assenza di ri- scontri bancari che il ricorrente sarebbe stato tenuto ad allegare per fornire un quadro probatorio conforme alla suddetta giurisprudenza. Non avendo dunque dimostrato di essere il beneficiario della società in questione, l’insorgente non è legittimato a ricorrere per cui il suo gravame risulta inammissibile.</w:t>
      </w:r>
    </w:p>
    <w:p>
      <w:r>
        <w:rPr>
          <w:b/>
        </w:rPr>
        <w:t>E. 2</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a carico del ricorrente; essa è coperta dall'an- ticipo delle spese di fr. 5'000.– già versato. La Cassa del Tribunale restituirà al ricorrente il saldo di fr. 3'000.–.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