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RR.2021.77 vom 22. Juni 2021</w:t>
      </w:r>
    </w:p>
    <w:p>
      <w:r>
        <w:t>Bundesstrafgericht, 2021-06-22, IT</w:t>
      </w:r>
    </w:p>
    <w:p>
      <w:r>
        <w:rPr>
          <w:b/>
        </w:rPr>
        <w:t xml:space="preserve">Quelle: </w:t>
      </w:r>
      <w:r>
        <w:t>https://mcp.opencaselaw.ch/entscheid/bstger_RR.2021.77</w:t>
      </w:r>
    </w:p>
    <w:p>
      <w:r>
        <w:t>FR: TPF RR.2021.77 du 22 juin 2021</w:t>
      </w:r>
    </w:p>
    <w:p>
      <w:r>
        <w:t>IT: TPF RR.2021.77 del 22 giugno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 Svizzera il 24 ottobre 2009 (RS 0.311.56), in particolare l’art. 46 richiamati gli art. 14 e 23. Alle questioni che il prevalente diritto internazionale contenuto in detti trattati non regola espressamente o implicitamente, come pure quando il</w:t>
      </w:r>
    </w:p>
    <w:p>
      <w:r>
        <w:t>- 4 -</w:t>
      </w:r>
    </w:p>
    <w:p>
      <w:r>
        <w:t>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 sid. 3; 140 IV 123 consid. 2; 137 IV 33 consid. 2.2.2; 136 IV 82 consid. 3.1). Il principio di favore vale anche nell'applicazione delle pertinenti norme di diritto internazionale (v. art. 48 n. 2 CAS, art. 39 n. 3 CRic e art. I n. 2 Accordo italo- svizzero).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parziale del 16 aprile 2021, il ricorso è ricevibile sotto il profilo degli art. 25 cpv. 1, 80e cpv. 1 e 80k AIMP. Titolare delle relazioni oggetto della decisione impugnata, la ricor- rente è legittimata a ricorrere (v. art. 80h lett. b AIMP e art. 9a lett. a OAIMP nonché DTF 137 IV 134 consid. 5.2.1; 130 II 162 consid. 1.1; 128 II 211 con- sid. 2.3; TPF 2007 79 consid. 1.6 pag. 82).</w:t>
      </w:r>
    </w:p>
    <w:p>
      <w:r>
        <w:rPr>
          <w:b/>
        </w:rPr>
        <w:t>E. 2</w:t>
      </w:r>
    </w:p>
    <w:p>
      <w:r>
        <w:t>La ricorrente sostiene innanzitutto che dai fatti riportati nella domanda di assi- stenza giudiziaria, con riferimento alla fattispecie che sarebbe qui d’interesse, risulterebbe chiaro che D., tramite l’utilizzo di presunte false fatture apparente- mente da lei emesse, abbia inteso perseguire una decurtazione di tributi fiscali, segnatamente l’evasione d’imposta sui redditi, ciò che renderebbe irricevibile la rogatoria giusta l’art. 3 cpv. 3 AIMP. La trasmissione della documentazione liti- giosa costituirebbe quindi una violazione del principio di specialità previsto all’art. 67 AIMP. L’insorgente censura inoltre la violazione del principio della doppia punibilità, nella misura in cui l’autorità d’esecuzione avrebbe a torto qua- lificato di frode fiscale gli atti contestati agli indagati all’estero. A suo dire, oltre a difettare l’inganno astuto, le fatture sospettate di essere fittizie non costitui- rebbero dei documenti ai sensi dell’art. 110 cpv. 5 CP e non potrebbero essere oggetto del reato di falsità in documenti. Essa sostiene altresì che la rogatoria difetterebbe della motivazione necessaria per quanto concerne l’esistenza di sufficienti sospetti circa la commissione del reato di truffa fiscale.</w:t>
      </w:r>
    </w:p>
    <w:p>
      <w:r>
        <w:rPr>
          <w:b/>
        </w:rPr>
        <w:t>E. 2.1</w:t>
      </w:r>
    </w:p>
    <w:p>
      <w:r>
        <w:t>Aderendo alla CEAG, la Svizzera ha posto il principio della doppia punibilità quale condizione all'esecuzione di ogni commissione rogatoria esigente l'appli- cazione di una qualsiasi misura coercitiva (v. art. 5 n. 1 lett. 1 CEAG e la riserva</w:t>
      </w:r>
    </w:p>
    <w:p>
      <w:r>
        <w:t>- 5 -</w:t>
      </w:r>
    </w:p>
    <w:p>
      <w:r>
        <w:t>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 sid. 11b/bb pag. 594). I fatti incriminati non devono forzatamente essere carat- terizzati, nelle due legislazioni toccate, dalla medesima qualificazione giuridica (DTF 124 II 184 consid. 4b/cc pag. 188). Diversamente dall'ambito estradizio- nale, le misure di cooperazione sono già ammesse se la condizione della dop- pia punibilità è ossequiata alla luce di una singola fattispecie (sentenza del Tri- bunale federale 1C_138/2007 del 17 luglio 2007 consid. 2.3 e rinvii).</w:t>
      </w:r>
    </w:p>
    <w:p>
      <w:r>
        <w:t>L'art. 2 lett. a CEAG permette tuttavia di rifiutare l'assistenza giudiziaria segna- tamente quando la domanda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 stenza di un inganno astuto. In determinate circostanze anche false informa- zioni la cui verifica non è possibile, è difficile o non è ragionevolmente esigibile</w:t>
      </w:r>
    </w:p>
    <w:p>
      <w:r>
        <w:t>- 6 -</w:t>
      </w:r>
    </w:p>
    <w:p>
      <w:r>
        <w:t>possono costituire un inganno astuto, come pure se il truffatore dissuade la vit- tima dall'effettuare una verifica o prevede, date le circostanze, che essa rinun- cerà a farlo in virtù, segnatamente, di un particolare rapporto di fiducia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2.2</w:t>
      </w:r>
    </w:p>
    <w:p>
      <w:r>
        <w:t>In concreto, richiamato quanto già esposto in precedenza (v. supra Fatti lett. A), nella sua rogatoria l’autorità italiana dichiara di condurre un procedimento pe- nale (anche) contro “D. (nato a Bologna il […]), per la violazione di cui agli artt. 61 n. 2 c.p. e 2 del D.Lgs. n. 74/2000 in quanto al fine di evadere le imposte sui redditi, per un ammontare di imposta evasa pari a € 36.550, utilizzava nella dichiarazione dei redditi del 29.11.2019, n. 3 (tre) fatture per operazioni inesi- stenti emesse da A. SA per complessivi € 85.000 di elementi passivi fittizi” (atto 1, pag. 2, incarto MP-TI). Dopo aver indicato numero, data e importo delle tre fatture e quantificato il reddito imponibile, gli elementi passivi fittizi e l’impo- sta evasa, essa ha precisato che il reato, commesso a Milano e Bologna il 29 novembre 2019 (data di presentazione della dichiarazione dei redditi), sa- rebbe stato commesso “anche al fine di consentire l’esecuzione del reato di</w:t>
      </w:r>
    </w:p>
    <w:p>
      <w:r>
        <w:t>- 7 -</w:t>
      </w:r>
    </w:p>
    <w:p>
      <w:r>
        <w:t>riciclaggio, nonché funzionale ad assicurarsi - grazie alla “monetizzazione” tra- mite restituzione per contanti – il profitto del delitto tributario al netto delle com- missioni pagate per l’illecita intermediazione (ovvero al netto del profitto delle condotte di riciclaggio)” (atto 1, pag. 2 e seg., incarto MP-TI). L’autorità rogante afferma in seguito che “la retrocessione del denaro contante ai beneficiari finali delle frodi fiscali è avvenuta attraverso la condotta riciclatoria posta in essere da E. (nato a Milano il […]), F. (nato a Lucera (FG) il […])”, descrivendo in ma- niera precisa le modalità da quest’ultimi attuate (ibidem, pag. 3). Essa conclude dichiarando che “le fonti di prova che hanno consentito la ricostruzione di cui sopra sono rappresentate da intercettazioni telefoniche e ambientali, dagli esiti delle perquisizioni effettuate presso le abitazioni degli indagati nonché dagli in- terrogatori resi da B. e C. rispettivamente in data 11.11.20 e 7.12.2021, durante i quali i due hanno ammesso pienamente i fatti e ricostruito le condotte di rici- claggio” (ibidem).</w:t>
      </w:r>
    </w:p>
    <w:p>
      <w:r>
        <w:rPr>
          <w:b/>
        </w:rPr>
        <w:t>E. 2.3</w:t>
      </w:r>
    </w:p>
    <w:p>
      <w:r>
        <w:t>Nella fattispecie, nella misura in cui il procedimento estero verte su reati legati all’utilizzo di fatture false finalizzate alla frode fiscale (v. supra Fatti lett. A e consid. 2.2), i fatti contestati agli indagati possono perlomeno essere sussunti ai reati di falsità in documenti (art. 251 CP) e truffa in materia fiscale (art. 14 cpv. 2 DPA), come la giurisprudenza ha del resto già avuto modo di rilevare in questi casi (v. sentenza del Tribunale penale federale RR.2021.4 del 22 aprile 2021 consid. 5). Con la sua rogatoria lo Stato richiedente ha sostanziato l’esi- stenza di sufficienti sospetti circa la commissione di una truffa fiscale e la con- dizione della doppia punibilità è certamente data. La decisione impugnata è inoltre correttamente corredata dalla riserva della specialità (v. act. 1.2 pag. 6 e 7), per cui è palesemente conforme alla riserva svizzera all’art. 2 CEAG e all’art. 67 AIMP. Tutte le censure in questo ambito sono dunque da respingere.</w:t>
      </w:r>
    </w:p>
    <w:p>
      <w:r>
        <w:rPr>
          <w:b/>
        </w:rPr>
        <w:t>E. 3</w:t>
      </w:r>
    </w:p>
    <w:p>
      <w:r>
        <w:t>La ricorrente censura infine la violazione del principio della proporzionalità e del divieto della fishing expedition. Avendo l’autorità rogante postulato l’acquisi- zione della documentazione bancaria presso la banca G. a far tempo dal 1° gennaio 2017 sino alla data d’esecuzione della rogatoria, la trasmissione di tutta la documentazione litigiosa eccederebbe la richiesta estera. Il MP-TI, inol- tre, non avrebbe indicato la sorte di svariati documenti oggetto di sequestro e non avrebbe dato alla ricorrente la possibilità di esprimersi sugli stessi, in viola- zione del suo diritto di essere sentito. Oltre ad essere la documentazione liti- giosa irrilevante per il procedimento estero, la loro trasmissione violerebbe la privacy, risp. il segreto bancario a cui la banca G. sarebbe astretta nei confronti della ricorrente, così come il segreto professionale a cui sarebbe vincolato il notaio Avv. C.</w:t>
      </w:r>
    </w:p>
    <w:p>
      <w:r>
        <w:rPr>
          <w:b/>
        </w:rPr>
        <w:t>E. 3.1</w:t>
      </w:r>
    </w:p>
    <w:p>
      <w:r>
        <w:t>Il principio della proporzionalità esige che vi sia una connessione fra la docu- mentazione richiesta e il procedimento estero (DTF 139 II 404 consid. 7.2.2;</w:t>
      </w:r>
    </w:p>
    <w:p>
      <w:r>
        <w:t>- 8 -</w:t>
      </w:r>
    </w:p>
    <w:p>
      <w:r>
        <w:t>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w:t>
      </w:r>
    </w:p>
    <w:p>
      <w:r>
        <w:t>- 9 -</w:t>
      </w:r>
    </w:p>
    <w:p>
      <w:r>
        <w:t>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t>- 10 -</w:t>
      </w:r>
    </w:p>
    <w:p>
      <w:r>
        <w:rPr>
          <w:b/>
        </w:rPr>
        <w:t>E. 3.2</w:t>
      </w:r>
    </w:p>
    <w:p>
      <w:r>
        <w:t>In concreto, l'utilità potenziale della documentazione litigiosa è certamente data, già solo per il fatto che la società ricorrente è sospettata di aver emesso tre fatture false che avrebbero permesso all’indagato D. di frodare il fisco. Vista la natura dei reati contestati, l’autorità rogante deve poter analizzare personal- mente tutta la documentazione litigiosa, al fine di ricostruire tutti i flussi di denaro intervenuti tra le entità coinvolte nelle indagini. Tale documentazione com- prende anche gli atti indicati dalla ricorrente nel suo gravame (v. act. 1, pag. 14 e seg.), nella misura in cui facenti parte dell’incarto bancario ricevuto dalla banca G. Essendo stati utilizzati per aprire i conti e ottenere prestazioni da parte della banca in questione, essi risultano potenzialmente utili per spiegare e ap- profondire le operazioni avvenute sui conti. Anche su tali atti la ricorrente è stata invitata a esprimersi prima della decisione di chiusura (v. act. 1.2, pag. 3), per cui da disattendere è la censura relativa alla violazione del suo diritto di essere sentita al riguardo. Del resto, l'interesse alla “privacy” delle persone toccate dalla misura chiaramente non può prevalere, nelle descritte circostanze, sulle necessità di indagine e sull'obbligo della Svizzera di accordare l'assistenza più ampia possibile (art. 1 cpv. 1 CEAG; sentenza del Tribunale federale 1A.182/2006 del 9 agosto 2007 consid. 3.3), anche perché non è escluso un loro possibile coinvolgimento nei fatti indagati. Il diritto alla riservatezza del cliente non prevale manifestamente sugli interessi del procedimento penale, per cui il principio della proporzionalità non è stato disatteso neppure da questo punto di vista. Inoltre, qualora le condizioni per la concessione dell'assistenza sono date, come è il caso in concreto, il segreto bancario non rappresenta di per sé un ostacolo all'assistenza giudiziaria internazionale in materia penale (v. DTF 127 II 151 consid. 4c/aa; 125 II 83 consid. 5; 123 II 153 consid. 7; sen- tenza del Tribunale penale federale RR.2011.3 del 21 marzo 2011 consid. 5; BODMER/KLEINER/LUTZ, Kommentar zum Bundesgesetz über die Banken und Sparkassen, 2015, n. 130 ad art. 47 LBCR). Per quanto riguarda il segreto pro- fessionale del notaio Avv. C., esso è invocato in relazione al verbale dell’as- semblea generale straordinaria della I. SA del 19 dicembre 2017 concernente la modifica della sua ragione sociale in A. SA, la modifica del suo scopo sociale, la revisione completa dei suoi statuti nonché l’aumento ordinario del suo capi- tale azionario. Nella misura in cui quanto deciso in occasione di tale assemblea è stato pubblicato nel Registro di commercio (v. act. 9), come previsto in questi casi (v. art. 927 e segg. CO; TPF 2015 121 consid. 6.3.3; MOOSER, Le droit notarial en Suisse, 2a ediz. 2014, n. 245c), non si vede come si possa trattare di informazioni coperte dal segreto notarile.</w:t>
      </w:r>
    </w:p>
    <w:p>
      <w:r>
        <w:t>Spetterà infine al giudice estero del merito chinarsi sulle contestazioni dei fatti e/o reati formulate dalla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w:t>
      </w:r>
    </w:p>
    <w:p>
      <w:r>
        <w:t>- 11 -</w:t>
      </w:r>
    </w:p>
    <w:p>
      <w:r>
        <w:t>della proporzionalità e non costituisce una ricerca esplorativa e indiscriminata di prove.</w:t>
      </w:r>
    </w:p>
    <w:p>
      <w:r>
        <w:rPr>
          <w:b/>
        </w:rPr>
        <w:t>E. 4</w:t>
      </w:r>
    </w:p>
    <w:p>
      <w:r>
        <w:t>Da quanto sopra discende che il ricorso va integralmente respinto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