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RR.2021.75 vom 10. Juni 2021</w:t>
      </w:r>
    </w:p>
    <w:p>
      <w:r>
        <w:t>Bundesstrafgericht, 2021-06-10, FR</w:t>
      </w:r>
    </w:p>
    <w:p>
      <w:r>
        <w:rPr>
          <w:b/>
        </w:rPr>
        <w:t xml:space="preserve">Quelle: </w:t>
      </w:r>
      <w:r>
        <w:t>https://mcp.opencaselaw.ch/entscheid/bstger_RR.2021.75</w:t>
      </w:r>
    </w:p>
    <w:p>
      <w:r>
        <w:t>FR: TPF RR.2021.75 du 10 juin 2021</w:t>
      </w:r>
    </w:p>
    <w:p>
      <w:r>
        <w:t>IT: TPF RR.2021.75 del 10 giugno 2021</w:t>
      </w:r>
    </w:p>
    <w:p>
      <w:pPr>
        <w:pStyle w:val="Heading2"/>
      </w:pPr>
      <w:r>
        <w:t>Regeste</w:t>
      </w:r>
    </w:p>
    <w:p>
      <w:r>
        <w:t>Extradition à la Belgique. Décision d'extradition (art. 55 EIMP). Assistance judiciaire gratuite (art. 65 PA).</w:t>
      </w:r>
    </w:p>
    <w:p>
      <w:pPr>
        <w:pStyle w:val="Heading2"/>
      </w:pPr>
      <w:r>
        <w:t>Erwägungen</w:t>
      </w:r>
    </w:p>
    <w:p>
      <w:r>
        <w:rPr>
          <w:b/>
        </w:rPr>
        <w:t>E. 1.1</w:t>
      </w:r>
    </w:p>
    <w:p>
      <w:r>
        <w:t>Les procédures d'extradition entre la Suisse et la Belgique sont prioritairement régies par la Convention européenne d'extradition du 13 décembre 1957 (CEExtr; RS 0.353.1), entrée en vigueur pour la Suisse le 20 mars 1967 et pour la Belgique le 27 novembre 1997, le Protocole additionnel à la CEExtr du 15 octobre 1975 (PA l CEExtr; RS 0.353.11) et le Deuxième protocole additionnel à la CEExtr du 17 mars 1978 (PA Il CEExtr; RS 0.353.12), entrés en vigueur pour la Suisse, le 9 juin 1985, et la Belgique, le 16 février 1998. S’appliquent également art. 59 ss de la Convention d'application de l'Accord de Schengen du 14 juin 1985 (CAAS; n. CELEX 42000A0922[02]; Journal officiel de l'Union européenne L 239 du 22 septembre 2000, p. 19-62 in https://www.admin.ch/opc/fr/european- union/international-agreements/008.html onglet « 8.1. Annexe A »), ainsi que les dispositions de la Convention du 27 septembre 1996 relative à l'extradition entre les Etats membres de l'Union européenne (CE-UE; n. CELEX 41996A1023(02); JO C 313 du 23 octobre 1996, p. 12-23), entrée en vigueur le 5 novembre 2019 (v. Avis du Conseil concernant l’entrée en vigueur de la convention de 1996 relative à l’extradition, JO C 329 du 1er octobre 2019), et de la décision 2003/169/JAI du conseil du 27 février 2003 (n. CELEX 32003D0169; JO L 67 du 12 mars 2003, p. 25 s.; in site internet susmentionné onglet « 8.2 Annexe B »), sans modifier les dispositions plus étendues en vigueur conformément aux accords bilatéraux ou multilatéraux (art. 59 al. 2 CAAS; art. 1 al. 1 CE-UE). Pour le surplus, la loi sur l'entraide internationale en matière pénale du 20 mars 1981 (EIMP; RS 351.1)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 140 IV 123 consid. 2; 137 IV 33 consid. 2.2.2; 136 IV 82 consid. 3.1). Le respect des droits fondamentaux est réservé (ATF 135 IV 212 consid. 2.3; 123 II 595 consid. 7c; TPF 2008 24 consid. 1.1).</w:t>
      </w:r>
    </w:p>
    <w:p>
      <w:r>
        <w:t>- 5 -</w:t>
      </w:r>
    </w:p>
    <w:p>
      <w:r>
        <w:rPr>
          <w:b/>
        </w:rPr>
        <w:t>E. 1.2</w:t>
      </w:r>
    </w:p>
    <w:p>
      <w:r>
        <w:t>La décision par laquelle l'OFJ accorde l'extradition (art. 55 al. 1 EIMP) peut faire l'objet d'un recours devant la Cour des plaintes du Tribunal pénal fédéral (art. 55 al. 3 et 25 al. 1 EIMP). Le recourant, en tant que personne visée par l’extradition, a qualité pour recourir au sens de l'art. 21 al. 3 EIMP (ATF 122 II 373 consid. 1b; 118 Ib 269 consid. 2d). Formé en date du 6 mai 2021 contre la décision d’extradition rendue par l’OFJ le 1er avril 2021 et reçue le</w:t>
      </w:r>
    </w:p>
    <w:p>
      <w:r>
        <w:rPr>
          <w:b/>
        </w:rPr>
        <w:t>E. 6</w:t>
      </w:r>
    </w:p>
    <w:p>
      <w:r>
        <w:t>avril 2021, le recours l’a été en temps utile, à savoir dans le délai de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Au vu de ce qui précède, le recours est recevable.</w:t>
      </w:r>
    </w:p>
    <w:p>
      <w:r>
        <w:t>2. Dans un grief qu’il convient d’examiner en premier lieu compte tenu de son caractère formel, le recourant se plaint de ce que l’OFJ aurait retenu sans motivation que les pièces fournies ne sauraient à elles seules consacrer ab initio un alibi en sa faveur excluant indubitablement sa présence sur les lieux de commission de l’infraction. Il retient également que l’autorité d’exécution ne s’est pas prononcée sur les nouvelles photographies fournies à l’appui de la procédure de recours.</w:t>
      </w:r>
    </w:p>
    <w:p>
      <w:r>
        <w:t>2.1 La jurisprudence a tiré du droit d'être entendu (art. 29 al. 2 Cst.) l'obligation pour l'autorité de motiver ses décisions. La motivation a pour but de permettre au justiciable 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RR.2017.42-43-44-45-46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w:t>
      </w:r>
    </w:p>
    <w:p>
      <w:r>
        <w:t>- 6 -</w:t>
      </w:r>
    </w:p>
    <w:p>
      <w:r>
        <w:t>motivation présentée est erronée (ATF 141 V 557 consid. 3.2.1). 2.2 Dans la décision entreprise, l’OFJ a évoqué les différentes pièces produites par le recourant devant lui et sur lesquelles il s’est fondé pour considérer qu’elles ne permettaient pas de retenir que l’extradable ne se trouvait pas en Belgique au moment des infractions sous enquête (act. 1.0 pt. 6). Il en a retenu qu’elles ne suffisaient pas à établir un alibi valable au sens de l’art. 53 EIMP. De même, l’OFJ a spécifié que les vérifications auxquelles le recourant lui demandait de procéder ne pouvaient consacrer en tant que telles un alibi suffisant ab initio. Contrairement à ce que soutient le recourant, ces éléments suffisent en terme de motivation pour comprendre les raisons pour lesquelles l’OFJ a écarté le bien-fondé de l’alibi allégué. S’il est vrai que l’OFJ ne s’est pas exprimé sur les nouvelles pièces soumises par le recourant à l’appui de son recours, il faut rappeler que l’autorité n'est pas tenue de discuter de manière détaillée tous les faits et allégations soulevés. Cela d’autant moins lorsque celles-ci ne sont pas pertinentes et ne sont qu’une répétition des arguments déjà invoqués par le recourant, notamment à propos des photos; arguments rejetés par l’OFJ. Mal fondé le grief doit partant être écarté.</w:t>
      </w:r>
    </w:p>
    <w:p>
      <w:r>
        <w:t>3. Comme principal grief, le recourant soutient que c’est à tort que l’OFJ n’a pas retenu l’existence d’un alibi valable. Il rappelle en effet avoir soumis à l’appui de ses observations devant l’autorité d’exécution et en annexe à son recours des photographies, qui, selon lui, attestent qu’il ne pouvait pas se trouver en Belgique aux dates des cambriolages concernés. Le recourant fait également valoir qu’au vu du confinement qui prévalait en Europe en mars et avril 2020, il est peu vraisemblable qu’il ait pu faire le déplacement, soit près de 2000 km, pour être en Belgique aux dates incriminées et se trouver le jour d’avant et le jour d’après au Kosovo. L’OFJ relève pour sa part que les allégations du recourant ne permettent pas de retenir l’existence d’une preuve évidente que ce dernier ne se trouvait pas sur les lieux des infractions présumées au moment des faits et qu’il se trouvait effectivement au Kosovo durant cette période.</w:t>
      </w:r>
    </w:p>
    <w:p>
      <w:r>
        <w:t>3.1 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devoir de vérification n’incombe toutefois à l’OFJ que dans l’hypothèse où le fait invoqué est</w:t>
      </w:r>
    </w:p>
    <w:p>
      <w:r>
        <w:t>- 7 -</w:t>
      </w:r>
    </w:p>
    <w:p>
      <w:r>
        <w:t>susceptible de conduire au refus de l’extradition et à la libération de l’inculpé, ou au retrait de la demande d’extradition (ATF 109 Ib 317 consid. 11b). En effet, même si elle n'est pas prévue par la CEExtr et peut ainsi se trouver en contradiction avec l'obligation d'extrader découlant de l'art. 1 de cette Convention, la faculté de fournir un alibi correspond à un principe général du droit extraditionnel (ATF 123 II 279 consid. 2b; 113 Ib 276 consid. 3c). La notion d'alibi doit être comprise dans son sens littéral, c'est-à-dire comme la preuve évidente que la personne poursuivie ne se trouvait pas sur les lieux de l'infraction au moment de sa commission (ATF 122 II 373 consid. 1c; 113 Ib 276 consid. 3b) ou qu’il y a erreur sur la personne (ZIMMERMANN, La coopération judiciaire internationale en matière pénale, 5e éd. 2019, no 674).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arrêt du Tribunal pénal fédéral RR.2011.180+214 du 29 novembre 2011 consid. 7.1).</w:t>
      </w:r>
    </w:p>
    <w:p>
      <w:r>
        <w:t>3.2 En l’occurrence, il ressort de la demande d’entraide qu’il est reproché au recourant d’avoir participé à plusieurs cambriolages en Belgique. Une première série aurait eu lieu à Z./Belgique durant le week-end du 21 au 22 mars 2020 et la deuxième les 11 et 12 avril 2020 à X./Belgique et Y./Belgique. Pour s’exonérer des accusations portées contre lui, le recourant produit différentes photos (act. 1.1 à 1.12). Cependant, ainsi que la Cour l’a déjà relevé dans le cadre de son arrêt relatif au mandat d’arrêt (supra let. C; arrêt du Tribunal pénal fédéral RH.2021.2 consid. 2.2), plusieurs d’entre elles ne peuvent lui servir d’alibi compte tenu des dates auxquelles elles auraient été prises. Tel est le cas des photos dont les dates ne correspondent pas à celles des infractions présumées (act. 1.1 à 1.5 et 1.7 à 1.12). En effet, sur la seule base des dates indiquées (act. 1.1: 20 mars 2020; act. 1.2: 11 mars 2020; act. 1.3: 1er mars 2020; act. 1.4: 26 février 2020; act. 1.5: 12 mars sans que l’année ne soit précisée; act. 1.7: 24 mars 2020; act. 1.8: 2 avril 2020; act. 1.9: 9 avril 2020; act. 1.11: 18 avril 2020; act. 1.12: 27 avril 2020), ces pièces ne permettent en rien de démontrer que le recourant était effectivement au Kosovo aux dates critiques, c’est-à-dire au moment où les cambriolages dans lesquels il serait impliqué ont eu lieu en Belgique. En outre, ainsi que déjà relevé par la Cour de céans, lors de son audition du</w:t>
      </w:r>
    </w:p>
    <w:p>
      <w:r>
        <w:rPr>
          <w:b/>
        </w:rPr>
        <w:t>E. 10</w:t>
      </w:r>
    </w:p>
    <w:p>
      <w:r>
        <w:t>mars 2021, le recourant a évoqué les photos dont il disposait pour essayer de se prévaloir d’un alibi, mais a articulé d’autres dates auxquelles les clichés en question auraient été pris que celles évoquées ci-dessus</w:t>
      </w:r>
    </w:p>
    <w:p>
      <w:r>
        <w:t>- 8 -</w:t>
      </w:r>
    </w:p>
    <w:p>
      <w:r>
        <w:t>(act. 4.14 p. 3 lignes 85 à 93). Déjà non crédibles en soi comme preuves d’alibi à cause de la chronologie des dates indiquées sur les photos par rapport à la perpétration des cambriolages, ces contradictions empêchent de conférer à ces photos la force probante que le recourant voudrait leur prêter. Certes, le recourant a produit deux photographies qui comportent les dates topiques des 22 mars et 12 avril 2020 (act. 1.6 et 1.10). S’il est vrai que les dates mentionnées sur ces photos semblent correspondre à celles des cambriolages concernés et que ces clichés représentent tous deux le recourant, rien ne permet d’identifier dans quels lieux ils ont été pris et, de ce fait, ne constituent pas la preuve évidente et univoque que le recourant ne se trouvait pas sur les lieux des infractions au moment de leur commission. Force est donc de constater que le recourant a échoué à démontrer valablement qu’il ne peut être indubitablement la personne ayant commis les cambriolages incriminés en Belgique (supra consid. 3.1). En tout état de cause, le recourant pourra le cas échéant faire valoir ces arguments à décharge devant le juge du fond dans l’Etat requérant. Par conséquent, le grief est écarté.</w:t>
      </w:r>
    </w:p>
    <w:p>
      <w:r>
        <w:t>4. Compte tenu de ce qui précède, le recours, mal fondé, est rejeté.</w:t>
      </w:r>
    </w:p>
    <w:p>
      <w:r>
        <w:t>5. Le recourant sollicite l’octroi de l’assistance judiciaire et la désignation de Me Charles Munoz comme avocat d’office pour la présente procédure de recours. 5.1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5.2 En l'espèce, les considérations qui précèdent se fondent sur des dispositions légales claires et sur des principes jurisprudentiels bien établis que l'argumentation développée par le recourant n'était manifestement pas</w:t>
      </w:r>
    </w:p>
    <w:p>
      <w:r>
        <w:t>- 9 -</w:t>
      </w:r>
    </w:p>
    <w:p>
      <w:r>
        <w:t>propre à remettre en question. L’octroi de l’assistance judiciaire doit dès lors être refusé, sans qu’il y ait lieu d’examiner si la condition de l’indigence est remplie. 5.3 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