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RR.2021.73 vom 5. Mai 2021</w:t>
      </w:r>
    </w:p>
    <w:p>
      <w:r>
        <w:t>Bundesstrafgericht, 2021-05-05, FR</w:t>
      </w:r>
    </w:p>
    <w:p>
      <w:r>
        <w:rPr>
          <w:b/>
        </w:rPr>
        <w:t xml:space="preserve">Quelle: </w:t>
      </w:r>
      <w:r>
        <w:t>https://mcp.opencaselaw.ch/entscheid/bstger_RR.2021.73</w:t>
      </w:r>
    </w:p>
    <w:p>
      <w:r>
        <w:t>FR: TPF RR.2021.73 du 5 mai 2021</w:t>
      </w:r>
    </w:p>
    <w:p>
      <w:r>
        <w:t>IT: TPF RR.2021.73 del 5 maggio 2021</w:t>
      </w:r>
    </w:p>
    <w:p>
      <w:pPr>
        <w:pStyle w:val="Heading2"/>
      </w:pPr>
      <w:r>
        <w:t>Regeste</w:t>
      </w:r>
    </w:p>
    <w:p>
      <w:r>
        <w:t>Entraide judiciaire internationale en matière pénale à Taïwan. Remise en vue de confiscation (art. 74a EIMP). Qualité pour recourir (art. 80h et 80e al. 1 EIMP). Autres mesures provisionnelles (art. 56 PA).</w:t>
      </w:r>
    </w:p>
    <w:p>
      <w:pPr>
        <w:pStyle w:val="Heading2"/>
      </w:pPr>
      <w:r>
        <w:t>Erwägungen</w:t>
      </w:r>
    </w:p>
    <w:p>
      <w:r>
        <w:rPr>
          <w:b/>
        </w:rPr>
        <w:t>E. 1.1</w:t>
      </w:r>
    </w:p>
    <w:p>
      <w:r>
        <w:t>L’entraide judiciaire entre Taïwan et la Confédération suisse est régie par la loi fédérale sur l’entraide internationale en matière pénale (EIMP; RS 351.1) et son ordonnance d’exécution (OEIMP; RS 351.11).</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1.3.1</w:t>
      </w:r>
    </w:p>
    <w:p>
      <w:r>
        <w:t>Selon l’art. 80h let. b EIMP, la qualité pour recourir dans le cadre de l’entraide judiciaire est reconnue à quiconque est personnellement et directement touché par la mesure d’entraide et a un intérêt digne de protection à ce qu’elle soit annulée ou modifiée. Aux termes de l’art. 9a let. a OEIMP, en cas d’informations sur un compte, son titulaire est réputé personnellement et directement touché au sens de l’art. 80h EIMP.</w:t>
      </w:r>
    </w:p>
    <w:p>
      <w:r>
        <w:rPr>
          <w:b/>
        </w:rPr>
        <w:t>E. 1.3.2</w:t>
      </w:r>
    </w:p>
    <w:p>
      <w:r>
        <w:t>En l’espèce, les sociétés recourantes A. S.A. et B. S.A.S. font valoir le recouvrement de prétentions directement à l’encontre de la créance que détient Taïwan suite à la décision de remise du 3 février 2021 de l’OFJ en faveur de Taïwan à hauteur de USD 264’972’858.--. En d’autres termes, il apparaît qu’un litige civil oppose les sociétés recourantes et Taïwan. A. S.A. et B. S.A.S. ne sont donc pas titulaires des relations bancaires visées par la remise de fonds à Taïwan. Par conséquent, elles n’ont pas qualité pour recourir contre la remise visant les fonds détenus par la famille Wang et leurs sociétés. L’argumentation des recourantes ne permet pas de s’écarter du texte clair de la loi.</w:t>
      </w:r>
    </w:p>
    <w:p>
      <w:r>
        <w:t>- 4 -</w:t>
      </w:r>
    </w:p>
    <w:p>
      <w:r>
        <w:rPr>
          <w:b/>
        </w:rPr>
        <w:t>E. 2</w:t>
      </w:r>
    </w:p>
    <w:p>
      <w:r>
        <w:t>En définitive, le recours devant déjà être déclaré irrecevable en l’absence de qualité pour recourir, il n’y a, a fortiori, pas lieu d’examiner la recevabilité du recours déposé contre une décision de clôture entrée en force. En effet, en principe, une décision de clôture ne peut plus être attaquée après son entrée en force, sous réserve du recours formé pour la constatation de son illicéité, ce qui n’est d’ailleurs pas soutenu par les recourantes (art. 80e al. 1 EIMP; arrêt du Tribunal pénal fédéral RR.2011.57 du 26 mai 2011 consid. 1.3; ZIMMERMANN, La coopération judiciaire internationale en matière pénale, 5e éd. 2019, n. 511).</w:t>
      </w:r>
    </w:p>
    <w:p>
      <w:r>
        <w:rPr>
          <w:b/>
        </w:rPr>
        <w:t>E. 3</w:t>
      </w:r>
    </w:p>
    <w:p>
      <w:r>
        <w:t>Au vu de ce qui précède, le recours doit être déclaré irrecevable.</w:t>
      </w:r>
    </w:p>
    <w:p>
      <w:r>
        <w:rPr>
          <w:b/>
        </w:rPr>
        <w:t>E. 4</w:t>
      </w:r>
    </w:p>
    <w:p>
      <w:r>
        <w:t>Il découle également de ce qui précède que les demandes de mesures superprovisionnelles et provisionnelles sont devenues sans objet.</w:t>
      </w:r>
    </w:p>
    <w:p>
      <w:r>
        <w:rPr>
          <w:b/>
        </w:rPr>
        <w:t>E. 5</w:t>
      </w:r>
    </w:p>
    <w:p>
      <w:r>
        <w:t>Vu l’issue du litige, les frais de procédure comprenant l’émolument d’arrêté, les émoluments de chancellerie et les débours seront mis à la charge des parties recourantes qui succombent (cf. art. 63 al. 1 de la loi fédérale du 20 décembre 1968 sur la procédure administrative [PA; RS 172.021], applicable par renvoi de l’art. 39 al. 2 let. b LOAP). En application des art. 73 al. 2 LOAP ainsi que 8 al. 3 du règlement du Tribunal pénal fédéral sur les frais, émoluments, dépens et indemnités de la procédure pénale fédérale (RFPPF; RS 173.713.162) et compte tenu de l’ampleur et de la difficulté de la cause, de la façon de procéder des parties, de leur situation financière et des frais de chancellerie, les intéressées supporteront solidairement les frais du présent arrêt, lesquels sont fixés dans l’ensemble à CHF 5’000.--.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