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RR.2021.58 vom 17. Juni 2021</w:t>
      </w:r>
    </w:p>
    <w:p>
      <w:r>
        <w:t>Bundesstrafgericht, 2021-06-17, IT</w:t>
      </w:r>
    </w:p>
    <w:p>
      <w:r>
        <w:rPr>
          <w:b/>
        </w:rPr>
        <w:t xml:space="preserve">Quelle: </w:t>
      </w:r>
      <w:r>
        <w:t>https://mcp.opencaselaw.ch/entscheid/bstger_RR.2021.58</w:t>
      </w:r>
    </w:p>
    <w:p>
      <w:r>
        <w:t>FR: TPF RR.2021.58 du 17 juin 2021</w:t>
      </w:r>
    </w:p>
    <w:p>
      <w:r>
        <w:t>IT: TPF RR.2021.58 del 17 giugno 2021</w:t>
      </w:r>
    </w:p>
    <w:p>
      <w:pPr>
        <w:pStyle w:val="Heading2"/>
      </w:pPr>
      <w:r>
        <w:t>Regeste</w:t>
      </w:r>
    </w:p>
    <w:p>
      <w:r>
        <w:t>Assistenza giudiziaria internazionale in materia penale all'Italia. Consegna di mezzi di prova (art. 74 EIMP).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- 4 -</w:t>
      </w:r>
    </w:p>
    <w:p>
      <w:r>
        <w:t>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 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parziale del 17 marzo 2021, il ricorso è ricevibile sotto il profilo degli art. 25 cpv. 1, 80e cpv. 1 e 80k AIMP. Titolari entrambi di una relazione oggetto della decisione impu- gnata, i ricorrenti sono legittimanti a ricorrere ognuno per il proprio conto (v. art. 80h lett. b AIMP e art. 9a lett. a OAIMP nonché DTF 137 IV 134 consid. 5.2.1; 130 II 162 consid. 1.1; 128 II 211 consid. 2.3; TPF 2007 79 consid. 1.6 pag. 82).</w:t>
      </w:r>
    </w:p>
    <w:p>
      <w:r>
        <w:rPr>
          <w:b/>
        </w:rPr>
        <w:t>E. 2</w:t>
      </w:r>
    </w:p>
    <w:p>
      <w:r>
        <w:t>I ricorrenti censurano innanzitutto la violazione del loro diritto di essere sentiti, nella misura in cui il MP-TI non avrebbe messo a loro disposizione la domanda di assistenza che avrebbe preceduto l’attuale richiesta del 29 luglio 2020, la</w:t>
      </w:r>
    </w:p>
    <w:p>
      <w:r>
        <w:t>- 5 -</w:t>
      </w:r>
    </w:p>
    <w:p>
      <w:r>
        <w:t>quale sarebbe una sua integrazione. Essi sostengono che le affermazioni effet- tuate dall’autorità d’esecuzione, secondo le quali la somma globale finale di circa EUR 520'000.– sarebbe stata accreditata sul conto personale di A. e che quest’ultimo avrebbe omesso di dichiarare fiscalmente il provento, sarebbero prive di qualsiasi riscontro e incomprensibili. A loro avviso, tale incomprensione deriverebbe dal fatto che informazioni note al MP-TI non sarebbero agli atti.</w:t>
      </w:r>
    </w:p>
    <w:p>
      <w:r>
        <w:rPr>
          <w:b/>
        </w:rPr>
        <w:t>E. 2.1</w:t>
      </w:r>
    </w:p>
    <w:p>
      <w:r>
        <w:t>Il diritto di essere sentito, ancorato all’art. 29 cpv. 2 Cost., viene concretizzato nell’ambito dell’assistenza giudiziaria internazionale agli art. 29 e segg. PA ri- chiamato l’art. 12 cpv. 1 AIMP (ZIMMERMANN, La coopération judiciaire interna- tionale en matière pénale, 5a ediz. 2019, n. 472). Esso è di natura formale (DTF 126 I 19 consid. 2d/bb pag. 24; 125 I 113 consid. 3; ALBERTINI, Der verfassungs- mässige Anspruch auf rechtliches Gehör im Verwaltungsverfahren des moder- nen Staates, 2000, pag. 449 con rinvii). Una violazione di questo diritto fonda- mentale da parte dell’autorità d’esecuzione non comporta comunque automati- camente l’accoglimento del gravame e l’annullamento della decisione impu- 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1C_660/2019 del 6 gennaio 2020 consid. 3.1; 1C_525/2008 e 1C_526/2008 del 28 novembre 2008 consid. 1.3 nonché 1A.54/2004 del 30 aprile 2004; TPF 2008 172 consid. 2.3; TPF 2007 57; ZIMMERMANN, op. cit., n. 472).</w:t>
      </w:r>
    </w:p>
    <w:p>
      <w:r>
        <w:rPr>
          <w:b/>
        </w:rPr>
        <w:t>E. 2.2</w:t>
      </w:r>
    </w:p>
    <w:p>
      <w:r>
        <w:t>In concreto, si rileva che la domanda di assistenza del 29 luglio 2020, che l’au- torità rogante ha effettivamente qualificato come “integrazione” (v. atto 1, pag. 1, incarto MP-TI), descrive in maniera chiara i fatti oggetto del procedi- mento estero. Oltre ad aver formalizzato l’accusa rivolta ad A. concernente il reato di dichiarazione fraudolenta mediante uso di fatture o altri documenti per operazioni inesistenti (v. supra Fatti lett. A), l’autorità rogante ha spiegato il meccanismo criminale messo in atto da E. e altri, precisando che E., che avrebbe riconosciuto gli addebiti, sarebbe già stato condannato dal Tribunale di Milano a una pena di 9 anni e 6 mesi di reclusione (v. atto 1, pag. 2 e seg., incarto MP-TI). L’autorità richiedente ha in particolare ricostruito e spiegato come un importo complessivo di EUR 580'000.– uscito da D. S.r.l., società cliente di E. coinvolta nei fatti sotto inchiesta all’estero, sarebbe ritornato, dopo una serie di passaggi dettagliatamente illustrati in rogatoria e al netto di una commissione, sul conto n. 3 presso la banca G., intestato ad A., per un importo totale di EUR 522'000.– (v. atto 1, pag. 4 e seg. e 8). In altre parole, con le modalità precisamente descritte dalle autorità italiane, A. sarebbe rientrato in possesso, a seguito di bonifici eseguiti da H. SA negli anni 2013 e 2014, di un</w:t>
      </w:r>
    </w:p>
    <w:p>
      <w:r>
        <w:t>- 6 -</w:t>
      </w:r>
    </w:p>
    <w:p>
      <w:r>
        <w:t>importo pari a EUR 521'550.– (al netto di commissioni bancarie per complessivi EUR 450.–), confermando il modus operandi di E. (v. ibidem). Per quanto ri- guarda l’ipotesi di omessa dichiarazione formulata dal MP-TI, essa è verosimil- mente da ricondurre all’affermazione dell’autorità rogante, secondo la quale “le predette somme di denaro, restituite in contanti ad A., a fronte dell’utilizzo di fatture per operazioni oggettivamente inesistenti, costituiscono “prodotto” del reato di riciclaggio e, fiscalmente, provento illecito da sottoporre a tassazione secondo quanto stabilito dall’art. 14 della L. 537/1993” (atto 1, pag. 9, incarto MP-TI). Ciò non è comunque determinante, visto che la rogatoria indica in ma- niera inequivocabile che il procedimento a carico di A. è in ogni caso condotto per il reato di dichiarazione fraudolenta mediante uso di fatture o altri documenti per operazioni inesistenti (v. atto 1, pag. 1, incarto MP-TI).</w:t>
      </w:r>
    </w:p>
    <w:p>
      <w:r>
        <w:t>In definitiva, la domanda di assistenza (integrazione) del 29 luglio 2020, osse- quiosa delle esigenze formali di cui agli art. 14 CEAG e 28 AIMP, nonché la decisione impugnata, la cui motivazione è conforme al contenuto della suddetta domanda, hanno permesso ai ricorrenti di ben comprendere l’oggetto delle in- dagini in Italia e di contestare con cognizione di causa la trasmissione della documentazione litigiosa. Visto quanto precede e che l’incarto del MP-TI non contiene (e non è necessario che contenga) altre (precedenti) rogatorie oltre il suddetto scritto del 29 luglio 2020, tutte le censure in questo ambito vanno re- spinte.</w:t>
      </w:r>
    </w:p>
    <w:p>
      <w:r>
        <w:rPr>
          <w:b/>
        </w:rPr>
        <w:t>E. 3</w:t>
      </w:r>
    </w:p>
    <w:p>
      <w:r>
        <w:t>I ricorrenti sostengono che la decisione impugnata violerebbe il principio della proporzionalità, nella misura in cui le relazioni litigiose nulla avrebbero a che vedere con i reati oggetto d’indagine all’estero.</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w:t>
      </w:r>
    </w:p>
    <w:p>
      <w:r>
        <w:t>- 7 -</w:t>
      </w:r>
    </w:p>
    <w:p>
      <w:r>
        <w:t>(DTF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fatti già emersi durante 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w:t>
      </w:r>
    </w:p>
    <w:p>
      <w:r>
        <w:t>- 8 -</w:t>
      </w:r>
    </w:p>
    <w:p>
      <w:r>
        <w:t>esteri (sentenze del Tribunale penale federale RR.2010.173 del 13 ottobre 2010 consid. 4.2.4/a e RR.2009.320 del 2 febbraio 2010 consid. 4.1; ZIMMERMANN, op. cit., n. 722, pag. 798 e seg.).</w:t>
      </w:r>
    </w:p>
    <w:p>
      <w:r>
        <w:rPr>
          <w:b/>
        </w:rPr>
        <w:t>E. 3.2</w:t>
      </w:r>
    </w:p>
    <w:p>
      <w:r>
        <w:t>Nella fattispecie, l'utilità potenziale della documentazione concernente la rela- zione bancaria di A. è certamente data, già solo per il fatto ch’egli stesso è indagato nel procedimento estero. L’autorità rogante ha del resto già identificato operazioni sospette avvenute su conti di sua pertinenza (v. atto 1, pag. 4 e seg., incarto MP-TI). La natura del reato contestatogli rende potenzialmente utile tutta la documentazione della relazione di sua pertinenza oggetto della decisione im- pugnata, ciò per verificare se su tale relazione sono confluiti valori provento di frode fiscale. Per quanto attiene a B., compagna di A., l’autorità rogante, pur non fornendo informazioni più precise relative a eventuali movimentazioni so- spette, ha individuato, sulla base della documentazione bancaria già a sua di- sposizione in Italia, una relazione con IBAN 1, rivelatasi essere un conto inte- stato alla predetta presso la banca F. Ora, constatata la vicinanza della stessa all’imputato A. nonché il suo possibile coinvolgimento nella vicenda oggetto d’in- chiesta – si pensi già solo a un eventuale ruolo di prestanome –, l’autorità ri- chiedente deve avere la possibilità di verificare autonomamente se il conto in questione è stato in qualche modo utilizzato per farvi confluire denaro legato alla già citata frode fiscale. In quest’ottica, un’utilità potenziale della relativa do- cumentazione bancaria è certamente data.</w:t>
      </w:r>
    </w:p>
    <w:p>
      <w:r>
        <w:t>Spetterà comunque al giudice estero del merito chinarsi sulle contestazioni dei fatti e/o reati formulate dai ricorrenti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w:t>
      </w:r>
    </w:p>
    <w:p>
      <w:r>
        <w:rPr>
          <w:b/>
        </w:rPr>
        <w:t>E. 4</w:t>
      </w:r>
    </w:p>
    <w:p>
      <w:r>
        <w:t>Asserendo che A. non sarebbe indagato in Italia per riciclaggio o autoriciclaggio, gli insorgenti sostengono che il principio della doppia punibilità non sarebbe ri- spettato. Essendo il crimine a monte di natura penal-tributaria, il reato di rici- claggio non potrebbe essergli contestato.</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w:t>
      </w:r>
    </w:p>
    <w:p>
      <w:r>
        <w:t>- 9 -</w:t>
      </w:r>
    </w:p>
    <w:p>
      <w:r>
        <w:t>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 sid. 11b/bb pag. 594). I fatti incriminati non devono forzatamente essere carat- terizzati, nelle due legislazioni toccate, dalla medesima qualificazione giuridica (DTF 124 II 184 consid. 4b/cc pag. 188). Diversamente dall'ambito estradizio- nale, le misure di cooperazione sono già ammesse se la condizione della dop- pia punibilità è ossequiata alla luce di una singola fattispecie (sentenza del Tri- bunale federale 1C_138/2007 del 17 luglio 2007 consid. 2.3 e rinvii; TPF 2020 30 consid. 4.2).</w:t>
      </w:r>
    </w:p>
    <w:p>
      <w:r>
        <w:t>L'art. 2 lett. a CEAG permette tuttavia di rifiutare l'assistenza giudiziaria segna- tamente quando la domanda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 stenza di un inganno astuto. In determinate circostanze anche false informa- zioni la cui verifica non è possibile, è difficile o non è ragionevolmente esigibile possono costituire un inganno astuto, come pure se il truffatore dissuade la vit- tima dall'effettuare una verifica o prevede, date le circostanze, che essa rinun- cerà a farlo in virtù, segnatamente, di un particolare rapporto di fiducia (DTF 139</w:t>
      </w:r>
    </w:p>
    <w:p>
      <w:r>
        <w:t>- 10 -</w:t>
      </w:r>
    </w:p>
    <w:p>
      <w:r>
        <w:t>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rilievo (v. KOCHER, Commentario basilese, 2015, n. 121 e segg. ad art. 3 AIMP; UNSELD, Internationale Rechtshilfe im Steuerrecht: Akzes- sorische Rechtshilfe, Auslieferung und Vollstreckungshilfe bei Fiskaldelikten, 2011, pag. 135, 147 e seg.; sentenza del Tribunale penale federale RR.2010.262 dell’11 giugno 2012 consid. 1.2.2).</w:t>
      </w:r>
    </w:p>
    <w:p>
      <w:r>
        <w:rPr>
          <w:b/>
        </w:rPr>
        <w:t>E. 4.2</w:t>
      </w:r>
    </w:p>
    <w:p>
      <w:r>
        <w:t>Nella fattispecie, nella misura in cui il procedimento estero verte su reati legati all’utilizzo di fatture false finalizzate alla frode fiscale (v. supra Fatti lett. A e consid. 2.2), i fatti contestati agli indagati possono perlomeno essere sussunti ai reati di falsità in documenti (art. 251 CP) e truffa in materia fiscale (art. 14 cpv. 2 DPA). Con la sua rogatoria lo Stato richiedente ha sostanziato l’esistenza di sufficienti sospetti circa la commissione di una truffa fiscale e la condizione della doppia punibilità è certamente data. Non spetta per contro al giudice dell’assistenza esaminare la punibilità secondo il diritto estero, fatti salvi casi d’abuso qui palesemente esclusi e nemmeno ipotizzati nel ricorso (v. più ampia- mente MOREILLON, Commentaire romand, 2004, Introduction générale, n. 591).</w:t>
      </w:r>
    </w:p>
    <w:p>
      <w:r>
        <w:rPr>
          <w:b/>
        </w:rPr>
        <w:t>E. 5</w:t>
      </w:r>
    </w:p>
    <w:p>
      <w:r>
        <w:t>Da quanto sopra discende che il ricorso va integralmente respinto e la decisione impugnata confermata.</w:t>
      </w:r>
    </w:p>
    <w:p>
      <w:r>
        <w:t>- 11 -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6'000.–, a carico dei ricorrenti in so- lido; essa è coperta dall'anticipo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