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RR.2021.57 vom 24. Juni 2021</w:t>
      </w:r>
    </w:p>
    <w:p>
      <w:r>
        <w:t>Bundesstrafgericht, 2021-06-24, IT</w:t>
      </w:r>
    </w:p>
    <w:p>
      <w:r>
        <w:rPr>
          <w:b/>
        </w:rPr>
        <w:t xml:space="preserve">Quelle: </w:t>
      </w:r>
      <w:r>
        <w:t>https://mcp.opencaselaw.ch/entscheid/bstger_RR.2021.57</w:t>
      </w:r>
    </w:p>
    <w:p>
      <w:r>
        <w:t>FR: TPF RR.2021.57 du 24 juin 2021</w:t>
      </w:r>
    </w:p>
    <w:p>
      <w:r>
        <w:t>IT: TPF RR.2021.57 del 24 giugno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 Con- venzione delle Nazioni Unite contro la corruzione (in seguito: UNCAC), con- clusa il 31 ottobre 2003, entrata in vigore per l’Italia il 4 novembre 2009 e per la Svizzera il 24 ottobre 2009 (RS 0.311.56), in particolare l’art. 46 richiamati gli art. 14 e 23. Alle questioni che il prevalente diritto internazionale contenuto in detti trattati non regola espressamente o implicitamente, come pure quando il diritto nazionale sia più favorevole all'assistenza rispetto a quello pattizio (co- siddetto principio di favore), si applica la legge sull'assistenza in materia penale, unitamente alla relativa ordinanza (OAIMP; RS 351.11; v. art. 1 cpv. 1 AIMP, art. I n. 2 Accordo italo-svizzero; DTF 145 IV 294 consid. 2.1; 142 IV 250 con- sid. 3; 140 IV 123 consid. 2; 137 IV 33 consid. 2.2.2; 136 IV 82 consid. 3.1). Il principio di favore vale anche nell'applicazione delle pertinenti norme di diritto internazionale (v. art. 48 n. 2 CAS, art. 39 n. 3 CRic e art. I n. 2 Accordo italo-</w:t>
      </w:r>
    </w:p>
    <w:p>
      <w:r>
        <w:t>- 4 -</w:t>
      </w:r>
    </w:p>
    <w:p>
      <w:r>
        <w:t>svizzero). È fatto salvo il rispetto dei diritti fondamentali (DTF 145 IV 294 con- 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entrata in mate- ria e di chiusura, il ricorso è ricevibile sotto il profilo degli art. 25 cpv. 1, 80e cpv. 1 e 80k AIMP.</w:t>
      </w:r>
    </w:p>
    <w:p>
      <w:r>
        <w:rPr>
          <w:b/>
        </w:rPr>
        <w:t>E. 1.6.1</w:t>
      </w:r>
    </w:p>
    <w:p>
      <w:r>
        <w:t>La ricevibilità del gravame presuppone tuttavia anche la legittimazione a ricor- rere dell’insorgente giusta l’art. 80h AIMP. In base a quest’ultima disposizione, oltre all’UFG (lett. a), ha diritto di ricorrere chiunque è toccato personalmente e direttamente da una misura d’assistenza giudiziaria e ha un interesse degno di 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 sufficien- temente stretto con la decisione litigiosa (DTF 137 IV 134 consid. 5.2.1; 123 II 161 consid. 1 d/aa). Più concretamente, nel caso di una richiesta d’informazioni su un conto bancario è considerato personalmente e direttamente toccato il ti- tolare del conto (v. art. 9a lett. a OAIMP; DTF 137 IV 134 consid. 5.2.1 e 6.1, con rinvii, e 118 Ib 547 consid. 1d), così come nelle perquisizioni domiciliari questa qualità spetta al proprietario o al locatario (v. art. 9a lett. b OAIMP; DTF 137 IV 134 consid. 6.2, con rinvii).</w:t>
      </w:r>
    </w:p>
    <w:p>
      <w:r>
        <w:rPr>
          <w:b/>
        </w:rPr>
        <w:t>E. 1.6.2</w:t>
      </w:r>
    </w:p>
    <w:p>
      <w:r>
        <w:t>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w:t>
      </w:r>
    </w:p>
    <w:p>
      <w:r>
        <w:t>- 5 -</w:t>
      </w:r>
    </w:p>
    <w:p>
      <w:r>
        <w:t>122 II 130 consid. 2b e rinvii). Per lo stesso motivo, nel caso di documenti in possesso di terzi, soltanto questi ultimi in quanto loro possessori possono con- testare il sequestro degli stessi, anche se i documenti in questione concernono un’altra persona contro la quale è pendente un procedimento penale estero (DTF 123 II 161 consid. 1d/aa; 116 Ib 106 consid. 2a; TPF 2007 79 consid. 1.6). La legittimazione a impugnare la trasmissione di verbali d'interrogatorio spetta, di massima, unicamente al teste sottoposto direttamente alla misura coercitiva e solo nella misura in cui è chiamato a fornire informazioni che lo concernono personalmente o si prevale del suo diritto di non testimoniare (DTF 126 II 258 consid. 2d/bb; 122 II 130 consid. 2b; 121 II 459 consid. 2c; ZIMMERMANN, La coopération judiciaire internationale en matière pénale, 5a ediz. 2019, n. 526 e 532). Un terzo, per contro, non è legittimato a contestare la consegna di un verbale d'audizione allo Stato richiedente neppure quando le affermazioni con- tenutevi lo tocchino personalmente. È ammessa un'eccezione a questa prassi solo per il titolare del conto oggetto della domanda di assistenza e solo in quanto le informazioni contenute nel verbale possano essere equiparate a una trasmis- sione di documenti concernenti la relazione e il titolare sarebbe stato, in tal caso, legittimato a impugnarne la trasmissione (DTF 124 II 180 consid. 2; sentenze del Tribunale federale 1A.282/2005 del 30 aprile 2007 consid. 2.3.1 e 1A.141/1998 del 9 febbraio 1999 consid. 2a = Rep 1999 pag. 123; TPF 2007 79 consid. 1.6 pag. 82).</w:t>
      </w:r>
    </w:p>
    <w:p>
      <w:r>
        <w:rPr>
          <w:b/>
        </w:rPr>
        <w:t>E. 1.6.3</w:t>
      </w:r>
    </w:p>
    <w:p>
      <w:r>
        <w:t>Il Tribunale federale ha altresì distinto la posizione del testimone obbligato a rispondere in un interrogatorio rogatoriale da quella del testimone interrogato in un procedimento interno. In quest’ultimo caso la persona interrogata è conside- rata toccata in maniera solamente indiretta dalla misura di assistenza con cui si chiede l’accesso al verbale già contenuto negli atti della procedura svizzera (v. sentenze del Tribunale federale 1A.186/2005 e 1A.187/2005 del 9 dicem- bre 2005 consid. 1.3.3). Ciò vale in linea di massima anche per il prevenuto, visto che si tratta comunque di persone interrogate in una procedura nazionale e non sottoposte ad un provvedimento coercitivo ex art. 63 e seg. AIMP. Il sem- plice fatto che l’esame dei verbali in questione potrebbe avere delle conse- guenze pregiudizievoli per il ricorrente nella procedura penale estera, non co- stituisce un motivo che giustifichi di riconoscergli la legittimazione (sentenza del Tribunale federale 1A.44/2004 del 22 aprile 2004 consid. 1.3.3). La qualità di persona contro cui è diretto il procedimento all’estero (art. 21 cpv. 3 AIMP) non conferisce di per sé la facoltà di ricorrere (DTF 116 Ib 106 consid. 2a). Questo diritto è riconosciuto all’indagato all’estero solo quando egli è toccato in maniera diretta dalla misura d’assistenza, per esempio laddove viene direttamente sot- toposto ad un interrogatorio o ad una perquisizione rogatoriali. La trasmissione di documenti già in possesso dell’autorità rogata a seguito di un pregresso pro- cedimento interno tocca invece solo indirettamente l’insorgente. Ciò nono- stante, a determinate condizioni, la giurisprudenza ha comunque ammesso la</w:t>
      </w:r>
    </w:p>
    <w:p>
      <w:r>
        <w:t>- 6 -</w:t>
      </w:r>
    </w:p>
    <w:p>
      <w:r>
        <w:t>legittimazione ricorsuale, segnatamente se nel verbale nazionale sono contem- plate specifiche informazioni su conti bancari intestati personalmente al ricor- rente e nella misura in cui la loro trasmissione potrebbe essere equiparata a una trasmissione di documenti concernenti la relazione bancaria (sentenza del Tribunale penale federale RR.2007.46 del 4 giugno 2007 consid. 1.6.2 e rinvii), risp. in caso di stretto rapporto fra la procedura nazionale e quella estera, a condizione che il ricorrente sia interrogato in relazione a fatti che lo concernono personalmente (TPF 2020 180 consid. 4).</w:t>
      </w:r>
    </w:p>
    <w:p>
      <w:r>
        <w:rPr>
          <w:b/>
        </w:rPr>
        <w:t>E. 1.6.4</w:t>
      </w:r>
    </w:p>
    <w:p>
      <w:r>
        <w:t>In concreto, nella misura in cui il ricorrente contesta la trasmissione dei suoi verbali d’interrogatorio dell’11 e 24 luglio 2020, che questi contengono informa- zioni che lo concernono personalmente e che il procedimento elvetico è in stretto rapporto con quello estero (v. act. 7.1, doc. AI 47 e AI 77), la legittima- zione è data. La legittimazione ricorsuale è parimenti data per quanto riguarda le relazioni bancarie intestate al medesimo, ossia la n. 1 presso la banca G. e n. 2 presso la banca H. (v. act. 7.1, doc. AI 27, AI 33 e AI 74). Essa fa per contro difetto per le altre relazioni oggetto della decisione impugnata (v. art. 80h lett. b AIMP e art. 9a lett. a OAIMP nonché DTF 137 IV 134 consid. 5.2.1; 130 II 162 consid. 1.1; 128 II 211 consid. 2.3; TPF 2007 79 consid. 1.6 pag. 82).</w:t>
      </w:r>
    </w:p>
    <w:p>
      <w:r>
        <w:t>In questi termini, occorre dunque entrare nel merito del ricorso.</w:t>
      </w:r>
    </w:p>
    <w:p>
      <w:r>
        <w:rPr>
          <w:b/>
        </w:rPr>
        <w:t>E. 2</w:t>
      </w:r>
    </w:p>
    <w:p>
      <w:r>
        <w:t>Il ricorrente contesta innanzitutto la trasmissione diretta della domanda di assi- stenza al MP-TI, visto che l’autorità rogante non avrebbe sostanziato il carattere urgente della sua domanda come previsto dall’art. 15 n. 2 CEAG.</w:t>
      </w:r>
    </w:p>
    <w:p>
      <w:r>
        <w:rPr>
          <w:b/>
        </w:rPr>
        <w:t>E. 2.1</w:t>
      </w:r>
    </w:p>
    <w:p>
      <w:r>
        <w:t>L’art. XVII n. 1 Accordo italo-svizzero prevede che le domande di assistenza giudiziaria, comprese quelle formulate dalle autorità amministrative di cui all’art. II dell’Accordo, possono essere indirizzate direttamente all’autorità competente a eseguire il provvedimento relativo all’assistenza e restituite per la stessa via. Sono fatti salvi i casi di cui agli articoli XVIII e XIX dell’Accordo.</w:t>
      </w:r>
    </w:p>
    <w:p>
      <w:r>
        <w:rPr>
          <w:b/>
        </w:rPr>
        <w:t>E. 2.2</w:t>
      </w:r>
    </w:p>
    <w:p>
      <w:r>
        <w:t>In concreto, data la preminenza dell’art. XVII n. 1 Accordo italo-svizzero sull’art. 15 n. 1 CEAG (v. supra consid. 1.2) e constatato che la rogatoria italiana non concerne i casi previsti agli art. XVIII e XIX Accordo italo-svizzero, la trasmis- sione diretta della domanda al MP-TI non presta il fianco a critiche. La censura va quindi respinta.</w:t>
      </w:r>
    </w:p>
    <w:p>
      <w:r>
        <w:rPr>
          <w:b/>
        </w:rPr>
        <w:t>E. 3</w:t>
      </w:r>
    </w:p>
    <w:p>
      <w:r>
        <w:t>Il ricorrente sostiene che la domanda di assistenza sarebbe generica, incom- pleta e lacunosa, in quanto non si riuscirebbe a capire quando, come e dove sarebbero stati commessi i reati contestati agli indagati. A suo dire, l’esposto dei fatti non indicherebbe il benché minimo elemento concreto che sarebbe</w:t>
      </w:r>
    </w:p>
    <w:p>
      <w:r>
        <w:t>- 7 -</w:t>
      </w:r>
    </w:p>
    <w:p>
      <w:r>
        <w:t>indiziante dell’esistenza dei reati oggetto del procedimento penale, men che meno del suo ipotetico ruolo o di quello delle società da lui amministrate nella truffa presumibilmente orchestrata dagli indagati.</w:t>
      </w:r>
    </w:p>
    <w:p>
      <w:r>
        <w:rPr>
          <w:b/>
        </w:rPr>
        <w:t>E. 3.1</w:t>
      </w:r>
    </w:p>
    <w:p>
      <w:r>
        <w:t>Per quanto attiene alla domanda di assistenza, gli art. 14 CEAG, 27 n. 1 CRic, art. 46 n. 15 UNCAC e 28 AIMP esigono in sostanza che essa sia scritta, che indichi l'ufficio da cui emana e all'occorrenza l'autorità competente per il proce- dimento penale, il suo oggetto, il motivo, la qualificazione giuridica del reato, i dati, il più possibile precisi e completi, della persona contro cui è diretto il pro- cedimento penale, presentando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3.2</w:t>
      </w:r>
    </w:p>
    <w:p>
      <w:r>
        <w:t>In concreto, richiamato quanto già esposto in precedenza (v. supra Fatti lett. A), nella sua rogatoria l’autorità italiana afferma che “B. è personaggio noto alle Forze dell’ordine. A far data dal 2016 a oggi si sono susseguite molteplici de- nunce a suo carico. Tutte per il medesimo fatto di reato: truffa, appropriazione indebita e intermediazione finanziaria abusiva. Dalla lettura degli esposti che sono stati presentati nel corso degli anni emerge che B. è solito proporsi come intermediario finanziario, agendo quale amministratore unico di diverse società di investimento. Dal 2011 e fino al 2016 si è proposto ai potenziali clienti di persona. Così ha agito quale amministratore della I. Spa; della ditta F. di B. e, infine, della banca J. ln siffatte tre occasioni (rispetto alle quali pendevano tre distinti procedimenti penali, ora riuniti al procedimento in trattazione) le somme di denaro investite erano di importi significativi (150, 180 mila euro) e venivano ricevute brevi manu dallo stesso indagato. Negli anni più recenti, in epoca suc- cessiva al 2016, le denunce sporte contro l’indagato hanno rappresentato un differente modus operandi. B. si è ecclissato, non si è più direttamente presen- tato ai clienti. Ha mandato operatori che hanno agito per suo conto. Si è attor- niato di un considerevole numero di collaboratori. Inoltre, le quote di denaro versate dalle vittime sono di piccola entità (al massimo 5 mila euro). L’indagine radicata in seno al procedimento penale, promosso da ultimo, ha preso avvio dalla denuncia sporta da K. nei confronti della società “C. Limited”, amministrata</w:t>
      </w:r>
    </w:p>
    <w:p>
      <w:r>
        <w:t>- 8 -</w:t>
      </w:r>
    </w:p>
    <w:p>
      <w:r>
        <w:t>dall’indagato. La società in parola – priva dell’autorizzazione all’attività di inter- mediazione finanziaria e creditizia – proponeva investimenti straordinariamente redditizi, con tassi di interesse fuori mercato. Alle scadenze pattuite per la resti- tuzione del capitale più interessi, le vittime hanno ottenuto una restituzione sol- tanto parziale dell’investimento. A oggi le denunce presentate sono numerosis- sime e la restituzione del danaro, di volta in volta, procrastinata a una data suc- cessiva, finora non è avvenuta. Tutti i pagamenti eseguiti dalle vittime sono con- fluiti su rapporti bancari (facenti capo sia alla predetta C. Limited sia alla D. Li- mited) in essere presso istituti di credito esteri e pure le somme di danaro che sono state restituite alle vittime risultano provenire da conti correnti esteri (di- versi da quelli beneficiari). Come sopra accennato, la C. Limited è amministrata dall’indagato, che, tuttavia, nell’ultimo arco temporale, non ha avuto contatti de visu con i potenziali clienti ma ha inviato suoi emissari, che operano per suo conto, proponendo investimenti (truffaldini) gestiti da società a lui riconducibili. La C. Limited, avente ad oggetto sociale l’attività di consulenza finanziaria, ha sede a Londra. Come anticipato si è accertato che i flussi di denaro gestiti dalle società riconducibili a B. (sia le somme date dalle vittime a titolo di investimento sia quelle versate alle vittime a titolo di restituzione del capitale) transitano su conti correnti esteri. Si è inoltre appurato che B. si serve di numerosi soggetti, alcuni promuovono il progetto reclutando nuovi investitori, altri fungono da pre- stanome o “movimentano” denaro, di provenienza illecita, per suo conto, attra- verso società di comodo” (atto 1, pag. 4 e seg., incarto MP-TI). L’autorità ro- gante precisa che “tra gli uomini di fiducia di B. figura A., nato a Riad (Arabia Saudita) il […]. A. emerge inizialmente attraverso la visione di alcuni video pre- senti sulla piattaforma YouTube. Nel primo video interviene nel corso di una trasmissione televisiva in qualità di Chief of Trading &amp; Commodity Business Unit della C. Limited (Capo del commercio e delle materie prime) e parla brevemente del commercio di preziosi e oro e del rapporto che la C. Limited ha con molti Paesi africani facendo riferimento anche a quelli instaurati con la famiglia reale del Marocco e con il Governo egiziano. Nel secondo video lo si vede accompa- gnare, unitamente a L. e M., un gruppo di investitori e/o promotori finanziari in una gita nel deserto organizzata a Dubai dalla C. Holding. Inoltre, nella Sezione “Team” del sito https://cholding.com/team/ viene indicato quale Responsabile del Commercio di materie prime. Si è risaliti alle sue generalità attraverso l’ana- lisi del report della struttura ricettiva N. di Venezia (periodo 12-14.12.2018) estrapolato dalla banca dati “Alloggiati”, in quanto nelle stesse giornate soggior- nano presso il medesimo Hotel anche B. e L. È stato compiutamente identificato confrontando l’immagine presente sulla sua C.I. n.[…] emessa in data […] dal Comune di Z. (Italia) con quella presente sul sito sopra indicato nonché con le immagini che lo riprendono nei video sopra richiamati. L’importanza del suo ruolo emerge soprattutto dalle cariche sociali che ha rivestito o riveste in seno ad alcune società ritenute di primaria importanza in quanto utilizzate per porre in atto la truffa piramidale. Ha rivestito la carica di Director (Amministratore) dal 30.06.2018 al 14.07.2020 in seno alla C. Limited anche congiuntamente a B.</w:t>
      </w:r>
    </w:p>
    <w:p>
      <w:r>
        <w:t>- 9 -</w:t>
      </w:r>
    </w:p>
    <w:p>
      <w:r>
        <w:t>Cessa da tale carica solo dopo il suo arresto (avvenuto in data 30.06.2020) e la stessa cosa accade per la O. Limited, con sede a Londra, ove ha rivestito la medesima carica dal 07.05.2019 al 14.07.2020, giorno del suo arresto (società nella quale, in precedenza, B. aveva rivestito la carica di Direttore dal 03.04.2019 aI 07.05.2019). È, inoltre, amministratore della E. SA di Lugano, società intestataria del rapporto bancario avente Iban 3 della banca H. di Lu- gano utilizzato dall’organizzazione per inviare piccole somme di danaro alle vit- time, attraverso bonifici bancari, relative ai presunti interessi maturati. Da ac- certamenti esperiti tramite la Companies House è emerso che la E. SA detiene: al 5.4.2018, 25.000.000 azioni ordinarie di classe B della F. Limited (altra so- cietà chiave per attuare la truffa) poi trasferite in data 01.08.2018; al 5.6.2020, 230.000.000 azioni ordinarie della O. Limited” (ibidem, pag. 5 e seg.).</w:t>
      </w:r>
    </w:p>
    <w:p>
      <w:r>
        <w:t>Quanto precede soddisfa le esigenze normative e giurisprudenziali poste in ma- teria di esposto dei fatti. Sufficientemente chiaro risulta parimenti essere il ruolo attribuito al ricorrente nella vicenda. Non spetta del resto al giudice dell’assi- stenza approfondire ulteriormente la fattispecie oggetto d’inchiesta, tantomeno ottenere le prove dei contestati reati. Sarà proprio la documentazione litigiosa a permettere all’autorità estera di progredire nella sua attività investigativa e di acclarare ulteriormente le condotte mosse a carico dei soggetti indagati. Le cen- sure in questo ambito vanno dunque respinte.</w:t>
      </w:r>
    </w:p>
    <w:p>
      <w:r>
        <w:rPr>
          <w:b/>
        </w:rPr>
        <w:t>E. 4</w:t>
      </w:r>
    </w:p>
    <w:p>
      <w:r>
        <w:t>L’insorgente afferma che la trasmissione della documentazione litigiosa viole- rebbe il principio della proporzionalità, nella misura in cui la stessa non presen- terebbe nessun legame con le indagini estere. La rogatoria costituirebbe pale- semente un caso di fishing expedition. A suo dire, occorrerebbe in ogni caso preservare la riservatezza dei nominativi di persone o società che nulla avreb- bero a che vedere con le indagini, procedendo all’oscuramento di transazioni e nominativi assolutamente non interessati dal procedimento penale estero. Egli aggiunge che le lacune della rogatoria renderebbero inattuabile la cernita della documentazione, con conseguente violazione del suo diritto di essere sentito.</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w:t>
      </w:r>
    </w:p>
    <w:p>
      <w:r>
        <w:t>- 10 -</w:t>
      </w:r>
    </w:p>
    <w:p>
      <w:r>
        <w:t>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 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complemen- tari (DTF 136 IV 82 consid. 4.1; 121 II 241 consid. 3; sentenza del Tribunale federale 1C_486/2008 dell'11 novembre 2008 consid. 2.4; sentenza del Tribu- 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w:t>
      </w:r>
    </w:p>
    <w:p>
      <w:r>
        <w:t>- 11 -</w:t>
      </w:r>
    </w:p>
    <w:p>
      <w:r>
        <w:t>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 pedition, la quale è definita dalla giurisprudenza una ricerca generale e indeter- minata di mezzi di prova volta a fondare un sospetto senza che esistano pre- 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4.2</w:t>
      </w:r>
    </w:p>
    <w:p>
      <w:r>
        <w:t>In concreto, l’utilità potenziale della documentazione litigiosa è certamente data. I verbali d’interrogatorio del ricorrente dell’11 e 24 luglio 2020 trattano sia dei bonifici da lui ricevuti dall’indagato B. sia dell’attività delle società menzionate in rogatoria, come P. SA e E. SA (v. act. 7.1, doc. AI 47 e AI 77). La documen- tazione concernente i conti del ricorrente presso le banche G. e H. potrà per- mettere di ricostruire i flussi del denaro di presunta origine criminale ricevuto da B. Come indicato dal MP-TI, il ricorrente ha talvolta spostato il denaro da E. SA a sé stesso (in particolare nell’ultimo periodo, poco prima del suo arresto). Egli ha inoltre percepito degli onorari e delle commissioni dalla predetta società sui suoi conti, i quali potrebbero essere provento dei presunti reati oggetto dell’in- chiesta estera.</w:t>
      </w:r>
    </w:p>
    <w:p>
      <w:r>
        <w:t>Spetterà comunque al giudice estero valutare se dalla documentazione inoltrata emerge in concreto una connessione penalmente rilevante fra i fatti oggetto della procedura penale in Italia e detta documentazione. Alla luce della do- manda rogatoriale, i verbali d’interrogatorio e la documentazione bancaria in questione risultano potenzialmente utili per l’inchiesta, motivo per cui la loro tra- smissione rispetta il principio della proporzionalità e non costituisce una ricerca esplorativa e indiscriminata di prove. Ribadita la validità formale della rogatoria (v. supra consid. 3.2) la censura relativa alla violazione del diritto di essere sen- tito, peraltro priva di qualsiasi specifica motivazione, non merita ulteriore disa- mina, visto che non si vede perché la cernita non sarebbe stata attuabile.</w:t>
      </w:r>
    </w:p>
    <w:p>
      <w:r>
        <w:rPr>
          <w:b/>
        </w:rPr>
        <w:t>E. 5</w:t>
      </w:r>
    </w:p>
    <w:p>
      <w:r>
        <w:t>Il ricorrente sostiene infine che, avendo la stessa autorità rogante affermato che le vittime avrebbero versato somme di piccola entità, ossia al massimo EUR 5'000.–, e che il conto alla banca H. intestato a E. SA sarebbe stato utiliz-</w:t>
      </w:r>
    </w:p>
    <w:p>
      <w:r>
        <w:t>- 12 -</w:t>
      </w:r>
    </w:p>
    <w:p>
      <w:r>
        <w:t>zato dall’organizzazione per inviare piccole somme di denaro alle vittime, la fat- tispecie costituirebbe un caso irrilevante giustificante la reiezione della do- manda di assistenza.</w:t>
      </w:r>
    </w:p>
    <w:p>
      <w:r>
        <w:rPr>
          <w:b/>
        </w:rPr>
        <w:t>E. 5.1</w:t>
      </w:r>
    </w:p>
    <w:p>
      <w:r>
        <w:t>Secondo l’art. 4 AIMP, la domanda è respinta se l’importanza del reato non giustifica l’attuazione del procedimento (v. DTF 121 IV 261 consid. 2d; sentenza del Tribunale penale federale RR.2009.327 del 25 novembre 2009 consid. 2.3; LUDWICZAK GLASSEY, Entraide judiciaire internationale en matière pénale, 2018, n. 464).</w:t>
      </w:r>
    </w:p>
    <w:p>
      <w:r>
        <w:rPr>
          <w:b/>
        </w:rPr>
        <w:t>E. 5.2</w:t>
      </w:r>
    </w:p>
    <w:p>
      <w:r>
        <w:t>Ora, pur ammettendo che la singola somma versata da ogni vittima delle pre- sunte truffe non superi l’importo di cui sopra, occorre rilevare che le persone che, nel corso di diversi anni, hanno versato denaro agli indagati sono nume- rose, così come sono svariati e importanti i reati contestati ai predetti, i quali potrebbero sfociare, in caso di condanna, in pene relativamente importanti (v. atto 1, pag. 2 e segg., incarto MP-TI). Ciò non permette di certo di affermare che il procedimento estero abbia per oggetto una bagatella e che costituisca un caso irrilevante ai sensi nella normativa svizzera. Anche tale censura va per- tanto respinta.</w:t>
      </w:r>
    </w:p>
    <w:p>
      <w:r>
        <w:rPr>
          <w:b/>
        </w:rPr>
        <w:t>E. 6</w:t>
      </w:r>
    </w:p>
    <w:p>
      <w:r>
        <w:t>Da quanto sopra discende che il ricorso va integralmente respinto, nella misura della sua ammissibilità, e la decisione impugnata confermata.</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