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RR.2021.55 vom 16. Juni 2021</w:t>
      </w:r>
    </w:p>
    <w:p>
      <w:r>
        <w:t>Bundesstrafgericht, 2021-06-16, IT</w:t>
      </w:r>
    </w:p>
    <w:p>
      <w:r>
        <w:rPr>
          <w:b/>
        </w:rPr>
        <w:t xml:space="preserve">Quelle: </w:t>
      </w:r>
      <w:r>
        <w:t>https://mcp.opencaselaw.ch/entscheid/bstger_RR.2021.55</w:t>
      </w:r>
    </w:p>
    <w:p>
      <w:r>
        <w:t>FR: TPF RR.2021.55 du 16 juin 2021</w:t>
      </w:r>
    </w:p>
    <w:p>
      <w:r>
        <w:t>IT: TPF RR.2021.55 del 16 giugno 2021</w:t>
      </w:r>
    </w:p>
    <w:p>
      <w:pPr>
        <w:pStyle w:val="Heading2"/>
      </w:pPr>
      <w:r>
        <w:t>Regeste</w:t>
      </w:r>
    </w:p>
    <w:p>
      <w:r>
        <w:t>Assistenza giudiziaria internazionale in materia penale all'Italia. Consegna di mezzi di prova (art. 74 AIMP).</w:t>
      </w:r>
    </w:p>
    <w:p>
      <w:pPr>
        <w:pStyle w:val="Heading2"/>
      </w:pPr>
      <w:r>
        <w:t>Erwägungen</w:t>
      </w:r>
    </w:p>
    <w:p>
      <w:r>
        <w:rPr>
          <w:b/>
        </w:rPr>
        <w:t>E. 1</w:t>
      </w:r>
    </w:p>
    <w:p>
      <w:r>
        <w:t>e 80k AIMP.</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internazionale (v. art. 48 n. 2 CAS e art. I n. 2 Accordo italo- svizzero). È fatto salvo il rispetto dei diritti fondamentali (DTF 145 IV 294 con- 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entrata in mate- ria e di chiusura, il ricorso è ricevibile sotto il profilo degli art. 25 cpv. 1, 80e cpv.</w:t>
      </w:r>
    </w:p>
    <w:p>
      <w:r>
        <w:rPr>
          <w:b/>
        </w:rPr>
        <w:t>E. 1.6.1</w:t>
      </w:r>
    </w:p>
    <w:p>
      <w:r>
        <w:t>La ricevibilità del gravame presuppone tuttavia anche la legittimazione a ricor- rere degli insorgenti giusta l’art. 80h AIMP. In base a quest’ultima disposizione, oltre all’UFG (lett. a), ha diritto di ricorrere chiunque è toccato personalmente e direttamente da una misura d’assistenza giudiziaria e ha un interesse degno di</w:t>
      </w:r>
    </w:p>
    <w:p>
      <w:r>
        <w:t>- 5 -</w:t>
      </w:r>
    </w:p>
    <w:p>
      <w:r>
        <w:t>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 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(DTF 126 II 258 consid. 2d/bb; 122 II 130 consid. 2b; 121 II 459 consid. 2c; ZIMMERMANN, La coopération judiciaire internationale en matière pénale, 5a ediz. 2019, n. 526 e 532). Un terzo, per contro, non è legittimato a contestare la consegna di un verbale d'audizione allo Stato richiedente neppure quando le affermazioni con- tenutevi lo tocchino personalmente. È ammessa un'eccezione a questa prassi solo per il titolare del conto oggetto della domanda di assistenza e solo in quanto le informazioni contenute nel verbale possano essere equiparate a una trasmis- sione di documenti concernenti la relazione e il titolare sarebbe stato, in tal caso, legittimato a impugnarne la trasmissione (DTF 124 II 180 consid. 2; sentenze del Tribunale federale 1A.282/2005 del 30 aprile 2007 consid. 2.3.1 e 1A.141/1998 del 9 febbraio 1999 consid. 2a = Rep 1999 pag. 123; TPF 2007 79 consid. 1.6 pag. 82).</w:t>
      </w:r>
    </w:p>
    <w:p>
      <w:r>
        <w:t>- 6 -</w:t>
      </w:r>
    </w:p>
    <w:p>
      <w:r>
        <w:rPr>
          <w:b/>
        </w:rPr>
        <w:t>E. 1.6.3</w:t>
      </w:r>
    </w:p>
    <w:p>
      <w:r>
        <w:t>Il Tribunale federale ha altresì distinto la posizione del testimone obbligato a rispondere in un interrogatorio rogatoriale da quella del testimone interrogato in un procedimento interno. In quest’ultimo caso la persona interrogata è conside- rata toccata in maniera solamente indiretta dalla misura di assistenza con cui si chiede l’accesso al verbale già contenuto negli atti della procedura svizzera (v. sentenze del Tribunale federale 1A.186/2005 e 1A.187/2005 del 9 dicem- bre 2005 consid. 1.3.3). Ciò vale in linea di massima anche per il prevenuto, visto che si tratta comunque di persone interrogate in una procedura nazionale e non sottoposte ad un provvedimento coercitivo ex art. 63 e seg. AIMP. Il sem- plice fatto che l’esame dei verbali in questione potrebbe avere delle conse- guenze pregiudizievoli per il ricorrente nella procedura penale estera non costi- tuisce un motivo che giustifichi di riconoscergli la legittimazione (sentenza del Tribunale federale 1A.44/2004 del 22 aprile 2004 consid. 1.3.3). La qualità di persona contro cui è diretto il procedimento all’estero (art. 21 cpv. 3 AIMP) non conferisce di per sé la facoltà di ricorrere (DTF 116 Ib 106 consid. 2a). Questo diritto è riconosciuto all’indagato all’estero solo quando è toccato in maniera diretta dalla misura d’assistenza, per esempio laddove viene direttamente sot- toposto ad un interrogatorio o ad una perquisizione rogatoriali. La trasmissione di documenti già in possesso dell’autorità rogata a seguito di un pregresso pro- cedimento interno tocca invece solo indirettamente l’insorgente. Ciò nono- stante, a determinate condizioni, la giurisprudenza ha comunque eccezional- mente ammesso la legittimazione ricorsuale, segnatamente se nel verbale na- zionale sono contemplate specifiche informazioni su conti bancari intestati per- sonalmente al ricorrente e nella misura in cui la loro trasmissione potrebbe es- sere equiparata a una trasmissione di documenti concernenti la relazione ban- caria (sentenza del Tribunale penale federale RR.2007.46 del 4 giugno 2007 consid. 1.6.2 e rinvii), risp. in caso di stretto rapporto fra la procedura nazionale e quella estera, a condizione che il ricorrente sia interrogato in relazione a fatti che lo concernono personalmente (TPF 2020 180 consid. 4).</w:t>
      </w:r>
    </w:p>
    <w:p>
      <w:r>
        <w:rPr>
          <w:b/>
        </w:rPr>
        <w:t>E. 1.6.4</w:t>
      </w:r>
    </w:p>
    <w:p>
      <w:r>
        <w:t>In concreto, nella misura in cui il ricorrente contesta la trasmissione del suo verbale di confronto con B. del 7 febbraio 2019, che questo contiene informa- zioni che lo concernono personalmente e che il procedimento elvetico è in stretto rapporto con quello estero (v. act. 1.7), la legittimazione è data. La legit- timazione ricorsuale fa per contro difetto per quanto riguarda gli altri due verbali (v. act. 1.8 e 1.9), anche se affermazioni ivi contenute toccano personalmente il ricorrente, dato che egli non è stato direttamente sottoposto alla misura coer- citiva, precisato anche che i documenti in questione non contengono informa- zioni su conti bancari di cui il ricorrente è titolare.</w:t>
      </w:r>
    </w:p>
    <w:p>
      <w:r>
        <w:t>In questi termini, occorre dunque entrare nel merito del ricorso.</w:t>
      </w:r>
    </w:p>
    <w:p>
      <w:r>
        <w:t>- 7 -</w:t>
      </w:r>
    </w:p>
    <w:p>
      <w:r>
        <w:rPr>
          <w:b/>
        </w:rPr>
        <w:t>E. 2</w:t>
      </w:r>
    </w:p>
    <w:p>
      <w:r>
        <w:t>Il ricorrente sostiene innanzitutto che la rogatoria del 5 febbraio 2019 deve es- sere considerata inammissibile, in quanto poggerebbe su una pregressa do- manda di assistenza del MP-TI del 21 gennaio 2019, ciò che costituirebbe una entraide sauvage vietata. Con la sua domanda, l’autorità penale ticinese avrebbe “fornito alla Procura di Milano delle informazioni (anche bancarie, quindi rientranti nella sfera segreta) e documenti (ossia la scheda “H.”, pure considerabile rientrante nella sfera segreta, visto che attiene all’attività di fidu- ciario dell’Avv. A. […] – non solo riferite all’Avv. A., bensì pure ad altre persone coinvolte nel procedimento penale INC.2018.9608 – che quest’ultima non pos- sedeva e che potrebbero essere sfruttate (anche in futuro) come mezzi di prova da parte dell’autorità italiana nell’ambito del procedimento penale che conduce. […] La trasmissione di tali informazioni e documenti (scheda H.) alla Procura di Milano avrebbe dovuto essere esaminata nel quadro di una procedura secondo la AIMP aperta su commissione rogatoria attiva da parte dell’autorità italiana, come esatto dalla dottrina e dalla giurisprudenza” (act. 1, pag. 15).</w:t>
      </w:r>
    </w:p>
    <w:p>
      <w:r>
        <w:rPr>
          <w:b/>
        </w:rPr>
        <w:t>E. 2.1</w:t>
      </w:r>
    </w:p>
    <w:p>
      <w:r>
        <w:t>L’assistenza è considerata selvaggia, segnatamente quando uno Stato, in se- guito alla ricezione di una commissione rogatoria attiva, presenta a sua volta una domanda di assistenza contenente tutte le informazioni o mezzi di prova inizialmente richiesti raggirando così le regole dell’assistenza. Per contro, quando le autorità dei due Stati indagano sullo stesso complesso fattuale, è inevitabile che i fatti contenuti nella commissione rogatoria permettano di com- pletare quelli già conosciuti dall’autorità richiesta. Il divieto dell’assistenza sel- vaggia non può quindi impedire la presentazione di domande di assistenza che devono, per essere conformi alle esigenze legali, designare in maniera precisa e dettagliata le operazioni sospette, i conti toccati, i loro titolari e aventi diritto (v. sentenza del Tribunale penale federale RR.2013.7-8 del 7 maggio 2013 con- sid. 4.1; ZIMMERMANN, op. cit., n. 418). La trasmissione di mezzi di prova riguar- danti la sfera segreta ad esecuzione di una richiesta rogatoriale attiva rappre- senta una forma di assistenza selvaggia ed è quindi vietata quando le autorità dello Stato estero svolgono a loro volta un'inchiesta che è strettamente legata a quella in Svizzera ed esse stesse hanno già presentato domande di accesso agli atti della procedura svizzera (v. TPF 2016 65 consid. 5 e 6).</w:t>
      </w:r>
    </w:p>
    <w:p>
      <w:r>
        <w:rPr>
          <w:b/>
        </w:rPr>
        <w:t>E. 2.2</w:t>
      </w:r>
    </w:p>
    <w:p>
      <w:r>
        <w:t>In concreto, la Procura della Repubblica presso il Tribunale di Milano, in data 29 marzo 2018, ha inoltrato una prima rogatoria alla Svizzera nell’ambito dell’at- tuale procedimento condotto in Italia, postulando l’identificazione presso la banca D. di tutte le relazioni bancarie riconducibili a C. SA e C. S.r.l., unitamente all’acquisizione della relativa documentazione. Essa ha parimenti richiesto l’ac- quisizione di documentazione bancaria concernente conti riconducibili agli in- dagati, il sequestro di EUR 9'048'926.02 quale provento dei presunti reati di truffa (ai danni di svariati istituti di credito) e di bancarotta fraudolenta (a danno di C. S.r.l.) contestati ai medesimi, nonché la perquisizione della sede operativa</w:t>
      </w:r>
    </w:p>
    <w:p>
      <w:r>
        <w:t>- 8 -</w:t>
      </w:r>
    </w:p>
    <w:p>
      <w:r>
        <w:t>di C. SA, inizialmente con sede a Z./TI e dal 2016 a Basilea (v. act. 1.13). L’ese- cuzione della rogatoria è stata affidata sia alle autorità inquirenti basilesi che a quelle ticinesi, precisato che il Canton Basilea è stato designato “Leitkanton” (v. scritto dell’UFG del 3 aprile 2018, in act. 1.14). Con decisione di chiusura del 24 maggio 2018, la Procura basilese ha ordinato la trasmissione alle autorità italiane di svariata documentazione concernente relazioni bancarie presso la banca D. riconducibili agli indagati, mantenendone anche il blocco dei saldi (v. act. 1.14).</w:t>
      </w:r>
    </w:p>
    <w:p>
      <w:r>
        <w:t>Il 21 gennaio 2019, il MP-TI, nell’ambito del già citato procedimento penale aperto nei confronti del ricorrente, I. e B. per titolo di coazione (art. 181 CP), falsità in documenti (art. 251 CP), favoreggiamento (art. 305 CP) e riciclaggio di denaro (art. 305bis CP), ha inoltrato una domanda di assistenza giudiziaria alla Procura della Repubblica presso il Tribunale ordinario di Milano (v. act. 1.5). Il procedimento penale ticinese ha tratto origine da quanto emerso in un’altra inchiesta condotta dal MP-TI a carico di E., nel corso della quale erano state messe in luce diverse operazioni sospette, segnatamente diversi accrediti, per più di un milione di franchi, in favore del predetto avvenuti tra luglio 2017 e luglio 2018 provenienti sostanzialmente dal ricorrente (v. ibidem, pag. 2 e seg.). A giustificazione di tali operazioni, E. e il ricorrente “sostenevano che tutto il de- naro pervenuto nella disponibilità di E. apparteneva allo stesso avv. A. e a una non meglio precisata cordata di clienti investitori a quest’ultimo riconducibili e che tale denaro […] era stato prestato ad E. per finanziare due operazioni […]. Tra la fine di settembre e l’inizio di ottobre 2018, tuttavia, l’imputato E. […] ha rivelato che le versioni fino ad allora rese nel corso dell’inchiesta, sia da lui sia dall’avv. A. (che era stato interrogato quale persona informata sui fatti), erano in realtà menzognere: il denaro non apparteneva affatto ad A. e a una cordata di clienti investitori, bensì proveniva da B. […], il quale avrebbe offerto ad E., per il tramite dell’avv. A., un ruolo di prestanome per le operazioni J. e K.” (ibi- dem, pag. 3). In considerazione di quanto precede, il MP-TI, ipotizzando possi- bili collegamenti tra i fatti appena descritti e il procedimento italiano oggetto della presente rogatoria, ha appunto aperto un’inchiesta penale a carico del ri- corrente, di B. nonché dell’avv. I., collega di lavoro di A. (v. ibidem, pag. 4). La perquisizione dello studio legale del ricorrente ha permesso di trovare una scheda contabile, in formato Excel, intitolata “H.”, che risulterebbe essere il nome in codice utilizzato per indentificare B. Tale scheda, allegata alla rogatoria del 21 gennaio 2019, fa stato di almeno 19 dazioni a contanti, da parte di B. ad A., nel periodo compreso tra inizio 2016 a luglio 2018, per un importo comples- sivo di EUR 2'445'200.–, denaro utilizzato per varie operazioni, tra le quali il finanziamento di una società svizzera riconducibile a B. L’importo in questione sarebbe ad ogni modo ritornato nelle disponibilità di B. (v. ibidem, pag. 4 e seg.). In definitiva, il MP-TI, con la sua rogatoria, ha chiesto alla Procura milanese ogni atto o documento utile: all’identificazione dell’origine del denaro contante</w:t>
      </w:r>
    </w:p>
    <w:p>
      <w:r>
        <w:t>- 9 -</w:t>
      </w:r>
    </w:p>
    <w:p>
      <w:r>
        <w:t>consegnato da B. ad A.; all’accertamento della posizione di B. e degli altri coim- putati nell’ambito del procedimento pendente in Italia; sulle persone citate nella rogatoria (v. ibidem, pag. 6). Come indicato in ingresso (v. supra Fatti lett. A), la Procura di Milano ha susseguentemente presentato al MP-TI la sua rogatoria del 5 febbraio 2019.</w:t>
      </w:r>
    </w:p>
    <w:p>
      <w:r>
        <w:rPr>
          <w:b/>
        </w:rPr>
        <w:t>E. 2.3</w:t>
      </w:r>
    </w:p>
    <w:p>
      <w:r>
        <w:t>Le autorità penali italiane e svizzere conducono le loro procedure penali in pa- rallelo. La procedura elvetica, aperta nel 2018, verte su presunti atti di riciclag- gio di denaro frutto di presunti atti di truffa e di bancarotta fraudolenta oggetto della pregressa inchiesta italiana. Nulla permette di concludere che la domanda di assistenza formulata dalle autorità svizzere il 21 gennaio 2019 non sia con- forme alle prescrizioni legali e che costituirebbe un caso di assistenza selvag- gia. Il MP-TI ha legittimamente illustrato il quadro fattuale sul quale ha basato la propria rogatoria, sostanziando i motivi legati alle misure istruttorie richieste. Esso ha certo descritto alcuni flussi di denaro intervenuti tra le persone toccate dalle indagini sia italiane che svizzere, ma queste costituiscono informazioni destinate a motivare e giustificare le sue richieste e non certo mezzi di prova. Per quanto riguarda il documento intitolato “H.”, questo è sì stato rinvenuto nello studio legale del ricorrente, ma non rappresenta da solo un mezzo di prova. Esso contiene una lista di operazioni ancora tutte da verificare mediante la re- lativa documentazione bancaria (il documento in questione presenta infatti una colonna denominata “conto movimentato”) e/o le dichiarazioni delle persone toccate dalle stesse. I verbali litigiosi potranno servire alle autorità italiane anche per fare luce sul contenuto del documento in parola. Visto quanto precede, le censure in questo ambito vanno tutte respinte.</w:t>
      </w:r>
    </w:p>
    <w:p>
      <w:r>
        <w:rPr>
          <w:b/>
        </w:rPr>
        <w:t>E. 3</w:t>
      </w:r>
    </w:p>
    <w:p>
      <w:r>
        <w:t>Il ricorrente censura la violazione del principio della proporzionalità, nella misura in cui non vi sarebbe nessun legame tra i fatti oggetto delle procedure condotte in Italia e Svizzera, in particolare tra gli averi portati in Svizzera da B. e il pro- vento della presunta attività truffaldina oggetto d’indagine in Italia. La rogatoria italiana nemmeno menzionerebbe il nome del ricorrente, il quale sarebbe total- mente estraneo ai fatti esteri. La documentazione oggetto della decisione im- pugnata non presenterebbe nessuna utilità per gli inquirenti milanesi. Pure vio- lato sarebbe in concreto il divieto della fishing expedition.</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w:t>
      </w:r>
    </w:p>
    <w:p>
      <w:r>
        <w:t>- 10 -</w:t>
      </w:r>
    </w:p>
    <w:p>
      <w:r>
        <w:t>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 sid. 3a e b; TPF 2010 73 consid. 7.1). Il principio dell’utilità potenziale gioca un ruolo cruciale nell'ambito dell'assistenza in materia penale. Lo scopo di tale coo- perazione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il verbale di confronto del 7 febbraio 2019 tra il ricorrente e B. pre- senta certamente un’utilità potenziale per il procedimento estero, già solo per il fatto che B. è indagato nel procedimento estero e A. in quello svizzero. B. ha del resto chiaramente dichiarato di aver consegnato ingenti somme di denaro al ricorrente, anche se, a suo dire, per motivi fiscali nonché legati ad una sua procedura di divorzio. L’autorità italiana deve avere la possibilità di conoscere le dichiarazioni fornite dai predetti dinanzi all’autorità svizzera che indaga sulla</w:t>
      </w:r>
    </w:p>
    <w:p>
      <w:r>
        <w:t>- 11 -</w:t>
      </w:r>
    </w:p>
    <w:p>
      <w:r>
        <w:t>provenienza delle somme di cui sopra, denaro che potrebbe essere legato ai reati di truffa e bancarotta fraudolenta oggetto d’indagine in Italia. Senza dimen- ticare le dichiarazioni effettuate da E. (v. supra consid. 2.2), il quale ha pure riferito di alcuni documenti prodotti dal ricorrente nell’ambito del procedimento penale che sarebbero stati retrodatati e fatti sottoscrivere allo stesso E., mentre questi si trovava in carcere, dall’avv. I. su istruzione del titolare dello studio le- gate ossia il ricorrente (v. act. 1.5, pag. 3). Sempre stando a quanto rivelato da E., il ricorrente, per il tramite di I., gli avrebbe fatto sapere che risultava fonda- mentale celare la reale identità dell’avente diritto economico delle somme di denaro oggetto dell’inchiesta, onde evitare un coinvolgimento di B. nelle inda- gini, da cui l’esigenza di ricollegare la proprietà dei soldi soltanto al ricorrente (v. ibidem). Potendo il ricorrente essere coinvolto nei fatti oggetto d’indagine in Italia, da respingere è pure la conclusione subordinata del ricorrente tesa a ren- dere illeggibili (con l’applicazione di omissis) le parti del verbale che lo concer- nono (compreso il suo nome e generalità).</w:t>
      </w:r>
    </w:p>
    <w:p>
      <w:r>
        <w:t>Spetterà comunque al giudice estero del merito valutare il contenuto del verbale litigioso e verificare se i fatti oggetto delle indagini italiane si intersecano con quelli del procedimento italiano. Alla luce della domanda rogatoriale, il verbale in questione risulta potenzialmente utile per l’inchiesta, motivo per cui la sua trasmissione rispetta il principio della proporzionalità e non costituisce una ri- cerca esplorativa e indiscriminata di prove.</w:t>
      </w:r>
    </w:p>
    <w:p>
      <w:r>
        <w:rPr>
          <w:b/>
        </w:rPr>
        <w:t>E. 4</w:t>
      </w:r>
    </w:p>
    <w:p>
      <w:r>
        <w:t>Da quanto sopra discende che il ricorso va integralmente respinto, nella misura della sua ammissibilità,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4'000.–, a carico del ricorrente; essa è coperta dall'an- 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