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RR.2021.51 vom 16. Juni 2021</w:t>
      </w:r>
    </w:p>
    <w:p>
      <w:r>
        <w:t>Bundesstrafgericht, 2021-06-16, IT</w:t>
      </w:r>
    </w:p>
    <w:p>
      <w:r>
        <w:rPr>
          <w:b/>
        </w:rPr>
        <w:t xml:space="preserve">Quelle: </w:t>
      </w:r>
      <w:r>
        <w:t>https://mcp.opencaselaw.ch/entscheid/bstger_RR.2021.51</w:t>
      </w:r>
    </w:p>
    <w:p>
      <w:r>
        <w:t>FR: TPF RR.2021.51 du 16 juin 2021</w:t>
      </w:r>
    </w:p>
    <w:p>
      <w:r>
        <w:t>IT: TPF RR.2021.51 del 16 giugno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 Svizzera il 24 ottobre 2009 (RS 0.311.56), in particolare l’art. 46 richiamati gli art. 14 e 23.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 cipio di favore vale anche nell'applicazione delle pertinenti norme di diritto inter- nazionale (v. art. 48 n. 2 CAS, art. 39 n. 3 CRic e art. I n. 2 Accordo italo-sviz- 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w:t>
      </w:r>
    </w:p>
    <w:p>
      <w:r>
        <w:t>- 5 -</w:t>
      </w:r>
    </w:p>
    <w:p>
      <w:r>
        <w:t>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le tre decisioni di chiusura del 1° marzo 2021, congiuntamente alle decisioni incidentali anteriori, il ricorso è ricevibile sotto il profilo degli art. 25 cpv. 1, 80e cpv. 1 e 80k AIMP. Nella misura in cui il ricorrente è titolare delle relazioni oggetto di due decisioni impugnate e che la perquisizione sfociata nel sequestro di materiale multimediale e cartaceo, og- getto della terza decisione impugnata, è avvenuta al suo domicilio, la legittima- zione ricorsuale è data (v. art. 80h lett. b AIMP e art. 9a lett. a e b OAIMP nonché DTF 137 IV 134 consid. 5.2.1 e 6.2; 130 II 162 consid. 1.1; 128 II 211 consid. 2.3; TPF 2007 79 consid. 1.6 pag. 82; sentenze del Tribunale penale federale RR.2016.277 del 7 febbraio 2017 consid. 1.5.2; RR.2015.289-290 del 13 aprile 2016 consid. 2.2.1).</w:t>
      </w:r>
    </w:p>
    <w:p>
      <w:r>
        <w:rPr>
          <w:b/>
        </w:rPr>
        <w:t>E. 2</w:t>
      </w:r>
    </w:p>
    <w:p>
      <w:r>
        <w:t>Il ricorrente contesta innanzitutto le motivazioni alla base delle tre decisioni di chiusura impugnate, a suo dire carenti e arbitrarie, aggiungendo che l’AFD non si sarebbe espresso su tutte le censure contenute nel suo scritto del 13 novem- bre 2020.</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consid. 4.1; 130 II 530 consid. 4.3; 126 I 97 consid. 2b; sentenza del Tribunale federale 1B_380/2010 del 14 marzo 2011 consid. 3.2.1).</w:t>
      </w:r>
    </w:p>
    <w:p>
      <w:r>
        <w:rPr>
          <w:b/>
        </w:rPr>
        <w:t>E. 2.2</w:t>
      </w:r>
    </w:p>
    <w:p>
      <w:r>
        <w:t>In concreto, l’autorità d’esecuzione ha sufficientemente spiegato i motivi legati al sequestro e alla trasmissione all’estero del materiale multimediale e cartaceo nonché della documentazione bancaria litigiosi. Essa si è pure espressa sulle censure del ricorrente riguardanti la perquisizione avvenuta presso il suo domi- cilio, la forma e il contenuto della rogatoria nonché la cernita del predetto mate- riale. Il fatto che il ricorrente non sia d’accordo con le motivazioni fornite</w:t>
      </w:r>
    </w:p>
    <w:p>
      <w:r>
        <w:t>- 6 -</w:t>
      </w:r>
    </w:p>
    <w:p>
      <w:r>
        <w:t>dall’AFD non implica una violazione del diritto di essere sentito, costituendo l’analisi della pertinenza delle stesse una questione di merito e non formale. Ciò precisato, non v'è dubbio che gli elementi contenuti nelle decisioni impugnate, unitamente al contenuto della rogatoria, sono stati sufficienti per permettere al ricorrente di comprenderne la portata e di interporre ricorso, ciò che è peraltro dimostrato dall’articolato e dettagliato atto ricorsuale (di 28 pagine) inoltrato alla presente autorità. La censura va dunque disattesa.</w:t>
      </w:r>
    </w:p>
    <w:p>
      <w:r>
        <w:rPr>
          <w:b/>
        </w:rPr>
        <w:t>E. 3</w:t>
      </w:r>
    </w:p>
    <w:p>
      <w:r>
        <w:t>Il ricorrente sostiene che le modalità della perquisizione effettuata al suo domi- cilio sarebbero lesive dei diritti della difesa, nella misura in cui egli non sarebbe stato assistito da un legale, il quale avrebbe potuto informarlo dei suoi diritti, fra i quali quello di non deporre e di chiedere la messa sotto sigilli del materiale prelevato dal suo appartamento. Tali violazioni implicherebbero l’inutilizzabilità delle prove assunte, le quali andrebbero quindi dissequestrate.</w:t>
      </w:r>
    </w:p>
    <w:p>
      <w:r>
        <w:rPr>
          <w:b/>
        </w:rPr>
        <w:t>E. 3.1</w:t>
      </w:r>
    </w:p>
    <w:p>
      <w:r>
        <w:t>L’art. 21 cpv. 1 AIMP prevede che la persona perseguita può designare un pa- trocinatore. Se vi prescinde o non è in grado di farlo e la tutela dei suoi interessi lo richiede, le è nominato un patrocinatore d’ufficio.</w:t>
      </w:r>
    </w:p>
    <w:p>
      <w:r>
        <w:rPr>
          <w:b/>
        </w:rPr>
        <w:t>E. 3.2</w:t>
      </w:r>
    </w:p>
    <w:p>
      <w:r>
        <w:t>Ora, prima di procedere alla perquisizione in parola, la DGD ha informato il ri- corrente dell’esistenza della rogatoria e del procedimento penale a suo carico in Italia, consegnandogli un esemplare delle decisioni di entrata in materia e incidentali del 6 aprile 2020 (v. act. 8.5). Il ricorrente ha firmato una dichiara- zione mediante la quale ha confermato di aver ricevuto dagli ispettori dell’Anti- frode doganale Sud di Lugano tutte le necessarie spiegazioni in merito alla ro- gatoria (v. ibidem). Dal rapporto d’inchiesta dell’8 luglio 2020, emerge che gli ispettori dell’Antifrode doganale hanno spiegato in dettaglio il motivo del loro intervento, consegnando, oltre alle summenzionate decisioni, anche un ordine di perquisizione del 3 giugno 2020. Il ricorrente, “dopo aver attentamente letto i documenti sopra citati ed aver ricevuto tutte le necessarie spiegazioni del caso […] comunicava di: non aver alcuna contestazione in merito alla presenza delle autorità estere; rinunciare alla presenza dell’agente ufficiale designato dall’au- torità cantonale competente ai sensi dell’art. 49 DPA e dall’art. 108a della Legge organica comunale del 10.03.1987 (LOC); rinunciare alla presenza di un suo legale/difensore” (act. 8.7, pag. 2). Il medesimo “non ha fatto opposizione al sequestro di carte e registrazioni prelevate e pertanto non ha richiesto l’apposi- zione di sigilli. Tutto l’intervento si è svolto senza alcun problema, il sig. A. si è dimostrato molto collaborativo e cordiale” (ibidem, pag. 10). Dal processo ver- bale di perquisizione dell’8 luglio 2020, emerge inoltre che il ricorrente, deten- tore delle carte e registrazioni prelevate, è stato informato del suo diritto di op- porsi alla perquisizione e delle relative conseguenze giuridiche. Tale documento attesta inoltre che il ricorrente “non intende fare opposizione e non richiede l’ap- posizione di sigilli” (act. 8.6).</w:t>
      </w:r>
    </w:p>
    <w:p>
      <w:r>
        <w:t>- 7 -</w:t>
      </w:r>
    </w:p>
    <w:p>
      <w:r>
        <w:t>Premesso che dagli atti dell’incarto non emerge nessun elemento o indizio che possa far credere che il ricorrente non abbia compreso le domande postegli dagli ispettori e la portata delle sue scelte, questione determinante, unitamente a quella legata alle difficoltà sollevate dalla causa, per valutare la necessità o meno di nominare un patrocinatore d’ufficio (v. DTF 112 Ib 342 consid. 2; ZIMMERMANN, La coopération judiciaire internationale en matière pénale, 5a ediz. 2019, n. 475), quanto precede permette di concludere che il ricorrente ha validamente e inequivocabilmente rinunciato sia alla presenza di un legale, sia al diritto di non deporre, sia all’apposizione di sigilli. La procedura non era del resto così complessa da necessitare la nomina di un avvocato d’ufficio. Il ricor- rente non ha infatti esternato incomprensione per quanto stava succedendo al momento della perquisizione. Anzi, egli si è dimostrato collaborativo, pur rifiu- tando una trasmissione semplificata degli oggetti che sarebbero stati seque- strati. Contrariamente a quanto asserito nel gravame, la situazione in sé non imponeva l’obbligo per l’autorità d’esecuzione di nominargli un difensore d’uffi- cio. La procedura rogatoriale non è infatti un procedimento penale in cui si de- cide della colpevolezza o della pena da infliggere alla persona perseguita. Di natura amministrativa, l’assistenza giudiziaria in materia penale è di sostegno ad un procedimento penale estero. Essa non prevede, di principio, l’applica- zione dei specifici diritti della difesa derivanti dall’art. 6 CEDU (v. sentenza del Tribunale federale 1C_146/2018 del 26 aprile 2018 consid. 2.2 con rinvii; sen- tenza del Tribunale penale federale RR.2019.116 del 22 agosto 2019 consid. 8.3.5). Visto quanto precede, tutte le censure in questo ambito vanno respinte.</w:t>
      </w:r>
    </w:p>
    <w:p>
      <w:r>
        <w:rPr>
          <w:b/>
        </w:rPr>
        <w:t>E. 4</w:t>
      </w:r>
    </w:p>
    <w:p>
      <w:r>
        <w:t>L’insorgente afferma che la domanda di assistenza sarebbe insufficientemente motivata, sia per quanto riguarda il reato di riciclaggio che per i fatti che fonde- rebbero il suo coinvolgimento nel disegno criminoso (frode carosello) contestato agli altri indagati. Inoltre, la rogatoria italiana non confermerebbe l’ammissibilità nello Stato richiedente delle misure richieste alle autorità svizzere, così come previsto dall’art. 76 AIMP.</w:t>
      </w:r>
    </w:p>
    <w:p>
      <w:r>
        <w:rPr>
          <w:b/>
        </w:rPr>
        <w:t>E. 4.1</w:t>
      </w:r>
    </w:p>
    <w:p>
      <w:r>
        <w:t>Per quanto attiene alla domanda di assistenza, gli art. 14 CEAG, 27 n. 1 CRic, art. 46 n. 15 UNCAC e 28 AIMP esigono in sostanza che essa sia scritta, che indichi l'ufficio da cui emana e all'occorrenza l'autorità competente per il proce- dimento penale, il suo oggetto, il motivo, la qualificazione giuridica del reato, i dati, il più possibile precisi e completi, della persona contro cui è diretto il pro- cedimento penale, presentando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w:t>
      </w:r>
    </w:p>
    <w:p>
      <w:r>
        <w:t>- 8 -</w:t>
      </w:r>
    </w:p>
    <w:p>
      <w:r>
        <w:t>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4.2</w:t>
      </w:r>
    </w:p>
    <w:p>
      <w:r>
        <w:t>In concreto, richiamato quanto già esposto in precedenza (v. supra Fatti lett. A), nella sua rogatoria l'autorità italiana afferma che “gli indagati, attraverso la so- cietà I. Srl, acquistano macchine utensili da società residenti in Italia e all’Estero, in sospensione d’imposta rilasciando dichiarazioni d’intento, ideolo- gicamente false. I beni acquistati da tali società sono successivamente rivenduti a società italiane a minor prezzo, con l’iva a debito, [che non viene mai versata all’erario] sia direttamente, sia attraverso società interposte fittiziamente, quali: J. Srl; K. Srl; L, Srl e M. Srl, tutte riconducibili agli C., D. e E. Con tale compor- tamento, gli indagati, oltre a guadagnare il profitto della vendita sottocosto, trag- gono profitto anche dal mancato pagamento dell’iva a debito, quantificato dal 2017 alla data degli accertamenti bancari, in circa Euro 4'614'409.52” (act. 8.9, pag. 3). Di tale importo, “una parte, allo stato 700'000.00 euro circa, è stata successivamente trasferita dai conti della società italiana I. Srl a quelli nella di- sponibilità di A. – allo stato estraneo alle imputazioni di cui ai reati fiscali –, residente in Svizzera, giustificando i flussi di denaro mediante l’utilizzo di fatture per operazioni inesistenti ovvero fittizie operazioni commerciali. Il 7 febbraio 2020, una fetta di questi soldi [300'000.00 €] sono in seguito ritornati nelle casse della società I. Srl, attraverso operazione di acquisto di azioni della società I. Srl da parte dello stesso A., un’altra parte di denaro è stata trasferita all’estero, per il tramite di società estere a loro riconducibili, quali: “N. Ltd” con sede in Bulga- ria; “O.” con sede in Ungheria; “P. con sede in Polonia e la società “Q.” con sede in Germania; oppure per il tramite delle società italiane interposte fittiziamente, quali: “J. Srl” di Desio; “L. Srl” di Cosio Valtellino; “M. Srl” di Milano e la K. Srl” anch’essa di Milano. Società, queste, tutte riconducibili agli indagati C., D. e E.” (ibidem, pag. 3 e seg.). L’autorità rogante aggiunge che “tre segnalazioni di operazioni sospette della banca R. successivamente acquisite a fascicolo, de- scrivono alcuni passaggi di soldi tra le società coinvolte nel sistema fraudolento. In particolare: […]; dalla segnalazione della banca R. prot. N. 6 del 22.10.2018 e dalla segnalazione prot. N. 7 del 26 febbraio del 2019 si rilevano gli incassi della società J. Srl provenienti da clienti italiani tra cui I. Srl, che vengono nei giorni immediatamente successivi bonificati all’estero, a favore di: A., N. Ltd; O. e P.” (ibidem, pag. 4). Le autorità italiane illustrano poi gli sviluppi delle indagini da loro condotte (v. ibidem, pag. 4 e segg.).</w:t>
      </w:r>
    </w:p>
    <w:p>
      <w:r>
        <w:t>- 9 -</w:t>
      </w:r>
    </w:p>
    <w:p>
      <w:r>
        <w:t>Quanto precede soddisfa le esigenze normative e giurisprudenziali poste in ma- teria di esposto dei fatti. Sufficientemente chiari risultano essere i sospetti rela- tivamente al disegno criminoso contestato agli indagati e ai reati di riciclaggio rimproverati al ricorrente. Non spetta del resto al giudice dell'assistenza appro- fondire ulteriormente la fattispecie oggetto d'inchiesta, tantomeno ottenere le prove dei contestati reati. Sarà proprio la documentazione litigiosa a permettere all'autorità estera di progredire nella sua attività investigativa e di acclarare ul- teriormente le condotte mosse a carico dei soggetti indagati.</w:t>
      </w:r>
    </w:p>
    <w:p>
      <w:r>
        <w:rPr>
          <w:b/>
        </w:rPr>
        <w:t>E. 4.3</w:t>
      </w:r>
    </w:p>
    <w:p>
      <w:r>
        <w:t>Per quanto riguarda la conferma dell’ammissibilità delle misure rogatoriali nello Stato richiedente, va rilevato che l'assistenza giudiziaria internazionale in ma- teria penale tra Svizzera ed Italia è regolata, tra l'altro, dall'Accordo italo-sviz- zero e dalla CEAG, i quali hanno la preminenza sull'AIMP (v. supra consid. 1.2). Contrariamente a quanto previsto dall'art. 76 lett. c AIMP in relazione con l'art. 31 OAIMP, gli art. 14 CEAG e XVI Accordo italo-svizzero, che stabiliscono in maniera esaustiva il contenuto delle domande di assistenza, non prevedono la produzione di una conferma circa l'ammissibilità nello Stato rogante del provve- dimento richiesto allo Stato rogato. Nella prassi, una tale conferma è del resto unicamente pretesa allorquando esistono seri dubbi sulla competenza dell'au- torità rogante che ha ordinato la misura o sull'ammissibilità del provvedimento (v. DTF 128 II 407 consid. 5.3.3; 123 II 161 consid. 3b; sentenza del Tribunale penale federale RR.2015.150-153 del 5 ottobre 2015 consid. 3; RR.2010.56 del 16 dicembre 2010 consid. 3.2; ZIMMERMANN, op. cit., n. 298), il che andrebbe in casu comunque escluso. La censura va quindi disattesa.</w:t>
      </w:r>
    </w:p>
    <w:p>
      <w:r>
        <w:rPr>
          <w:b/>
        </w:rPr>
        <w:t>E. 5</w:t>
      </w:r>
    </w:p>
    <w:p>
      <w:r>
        <w:t>Il ricorrente sostiene che le autorità penali italiane sarebbero incompetenti a perseguirlo, dato che, semmai fosse ritenuta sussistente una rilevanza penale delle sue condotte, il delitto sarebbe stato commesso integralmente in Svizzera.</w:t>
      </w:r>
    </w:p>
    <w:p>
      <w:r>
        <w:t>Questa Corte rileva innanzitutto che, in base alla rogatoria, il ricorrente è for- malmente indagato nell’ambito del procedimento estero. Quest’ultimo concerne una frode di tipo “carosello” che coinvolge, oltre che l’Italia, Paese che costitui- sce comunque il baricentro della frode e delle indagini nonché il luogo di resi- denza della maggior parte degli indagati, anche altri Paesi europei. Se è vero che il ricorrente è residente in Ticino e che egli dispone di conti bancari in Sviz- zera, occorre anche tenere presente che le varie presunte operazioni di riciclag- gio contestategli coinvolgono anche persone e relazioni bancarie in Italia. La documentazione oggetto della decisione impugnata potrà permettere alle auto- rità inquirenti estere di ulteriormente chiarire il coinvolgimento del ricorrente, non solo per i presunti reati di riciclaggio, ma anche per eventuali ulteriori attività da lui intraprese nell’ambito della presunta frode. Dagli atti dell’incarto non emerge del resto l’esistenza di un parallelo procedimento svizzero a carico del</w:t>
      </w:r>
    </w:p>
    <w:p>
      <w:r>
        <w:t>- 10 -</w:t>
      </w:r>
    </w:p>
    <w:p>
      <w:r>
        <w:t>ricorrente per riciclaggio di denaro e le autorità italiane conoscono evidente- mente in maniera più approfondita l’organizzazione oggetto delle indagini, con- ducendo esse un procedimento penale di ampia portata. Esse appaiono le me- glio posizionate per esaminare e valutare l’effettivo ruolo del ricorrente in seno alla stessa. Visto quanto precede, è dunque a torto che il predetto invoca l’in- competenza delle autorità italiane, il cui agire non costituisce nemmeno quindi una grave deficienza ai sensi dell’art. 2 lett. d AIMP. Tutte le censure in questo ambito vanno quindi disattese.</w:t>
      </w:r>
    </w:p>
    <w:p>
      <w:r>
        <w:rPr>
          <w:b/>
        </w:rPr>
        <w:t>E. 6</w:t>
      </w:r>
    </w:p>
    <w:p>
      <w:r>
        <w:t>L’insorgente censura inoltre la violazione del principio della proporzionalità, nella misura in cui la decisione impugnata prevede la trasmissione di documen- tazione inutile per il procedimento estero, in contrasto anche con il divieto della fishing expedition. Per quanto riguarda la documentazione multimediale, avendo l’autorità rogante fornito delle parole chiave per la ricerca, la trasmis- sione di tutto quanto non rientrante in tale criterio costituirebbe una violazione del principio che vieta all’autorità di esecuzione di agire ultra petita.</w:t>
      </w:r>
    </w:p>
    <w:p>
      <w:r>
        <w:rPr>
          <w:b/>
        </w:rPr>
        <w:t>E. 6.1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w:t>
      </w:r>
    </w:p>
    <w:p>
      <w:r>
        <w:t>- 11 -</w:t>
      </w:r>
    </w:p>
    <w:p>
      <w:r>
        <w:t>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può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t>- 12 -</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6.2</w:t>
      </w:r>
    </w:p>
    <w:p>
      <w:r>
        <w:t>Nella fattispecie, l'utilità potenziale della documentazione litigiosa è certamente data, già solo per il fatto che il ricorrente, titolare e/o avente diritto economico dei conti oggetto dell’avversata decisione nonché detentore e/o proprietario de- gli oggetti e documenti sequestrati presso il suo domicilio, è indagato nell’in- chiesta italiana. Ciò premesso, si rileva che lo specialista forense della DGD, dopo aver fatto un’immagine dei supporti informatici del laptop Samsung non- ché dei cellulari WIKO e Samsung Galaxy S5, ha proceduto alla cernita tramite un motore di ricerca utilizzando delle parole chiave riconducibili alla rogatoria. Il patrocinatore del ricorrente ha potuto visionare la documentazione selezio- nata ritenuta potenzialmente utile. Per quanto concerne il contenuto del laptop Samsung, egli ha ritenuto i documenti selezionati non trasmissibili all’autorità rogante in quanto non visibili. Tale motivazione non può evidentemente costi- tuire un impedimento alla contestata trasmissione, precisato che sarebbe stato suo compito contattare la DGD per risolvere il problema tecnico, ciò che non ha fatto. Per quanto riguarda il contenuto dei due cellulari, egli si è opposto alla trasmissione di svariati dati, senza tuttavia sostanziare i motivi di tale opposi- zione. In sede di ricorso, il ricorrente ha proceduto in maniera analoga. Da una parte, egli ritiene i dati del laptop non trasmissibili in quanto non visionabili, senza tuttavia attivarsi presso la DGD o la presente autorità per risolvere il pro- blema; dall’altra, ha fornito una lista di tutto quanto ritenuto non trasmissibile, omettendo tuttavia qualsiasi motivazione a sostegno.</w:t>
      </w:r>
    </w:p>
    <w:p>
      <w:r>
        <w:t>Ad ogni modo, ribaditi lo statuto d’indagato del ricorrente, la cernita avvenuta utilizzando precise parole chiave legate alla rogatoria, nonché l’esistenza di operazioni sospette avvenute su suoi conti bancari (v. act. 8.9, pag. 3 e seg.), tutta la documentazione litigiosa risulta potenzialmente utile per l’inchiesta</w:t>
      </w:r>
    </w:p>
    <w:p>
      <w:r>
        <w:t>- 13 -</w:t>
      </w:r>
    </w:p>
    <w:p>
      <w:r>
        <w:t>estera. La sua trasmissione alle autorità italiane non integra gli estremi di una fishing expedition, intesa come un’indiscriminata ricerca di mezzi di prove, poi- ché frutto di una richiesta mirata e motivata. Spetterà comunque al giudice estero del merito valutare se dalla documentazione inoltrata emerge in concreto una connessione penalmente rilevante fra i fatti oggetto della procedura penale in Italia e detta documentazione. Alla luce della rogatoria, la criticata trasmis- sione rispetta il principio della proporzionalità.</w:t>
      </w:r>
    </w:p>
    <w:p>
      <w:r>
        <w:rPr>
          <w:b/>
        </w:rPr>
        <w:t>E. 7</w:t>
      </w:r>
    </w:p>
    <w:p>
      <w:r>
        <w:t>Il ricorrente ha chiesto a questa Corte di indire un dibattimento con citazione delle parti.</w:t>
      </w:r>
    </w:p>
    <w:p>
      <w:r>
        <w:rPr>
          <w:b/>
        </w:rPr>
        <w:t>E. 7.1</w:t>
      </w:r>
    </w:p>
    <w:p>
      <w:r>
        <w:t>Nell'ambito del ricorso in materia di estradizione, ma anche di piccola assi- stenza, al Tribunale penale federale, né la PA, né l'AIMP medesima prevedono un pubblico dibattimento. Inoltre, la procedura dinanzi alla Corte dei reclami pe- nali del Tribunale penale federale è di principio scritta. La possibilità di ordinare il dibattimento è comunque data in virtù dell’art. 57 cpv. 2 PA, ma solo in circo- stanze particolari, segnatamente quando sia indispensabile che prove vengano assunte direttamente dal Tribunale, oppure quando lo impone l’art. 6 n. 1 CEDU (sentenza del Tribunale penale federale RH.2014.3 del 5 marzo 2014 consid. 7.3). In virtù di quest’ultima disposizione è prescritta un'udienza pubblica nell'ambito di procedimenti concernenti la determinazione di diritti e doveri di carattere civile, come pure la fondatezza di accuse penali. L'esame di domande di estradizione e di altra assistenza non concerne né diritti o doveri di carattere civile né la fondatezza in quanto tale di un'accusa penale. La procedura di as- sistenza giudiziaria non è un procedimento penale, visto che in questo contesto l’autorità giudiziaria non si determina né sull'eventuale colpevolezza né sulla pena (v. sentenze del Tribunale federale 1A.247/2005 del 25 ottobre 2005 con- sid. 2.2; 1A.225/2003 del 25 novembre 2003 consid. 1.5, con riferimenti; v. an- che sentenze del Tribunale penale federale RR.2019.116 del 22 agosto 2019 consid. 8.3.5; RR.2011.91 del 4 luglio 2011 consid. 6; RR.2009.76 del 9 luglio 2009 consid. 2.2; RR.2008.283-284 del 24 marzo 2009 consid. 15).</w:t>
      </w:r>
    </w:p>
    <w:p>
      <w:r>
        <w:rPr>
          <w:b/>
        </w:rPr>
        <w:t>E. 7.2</w:t>
      </w:r>
    </w:p>
    <w:p>
      <w:r>
        <w:t>Non essendo l'art. 6 n. 1 CEDU applicabile, il ricorrente non ha diritto ad una pubblica udienza, né egli del resto spiega in alcun modo perché la prospettata discussione orale dovrebbe apportare ulteriori elementi utili al presente giudizio. Non vi è dunque ragione di derogare alla regola per cui la procedura di ricorso in ambito di assistenza in materia penale si svolge in forma scritta (v. sentenza del Tribunale penale federale RR.2011.3 del 21 marzo 2011 consid. 2 e riferi- menti citati). Ne consegue che la richiesta di un'udienza pubblica presentata dal ricorrente deve essere respinta.</w:t>
      </w:r>
    </w:p>
    <w:p>
      <w:r>
        <w:t>- 14 -</w:t>
      </w:r>
    </w:p>
    <w:p>
      <w:r>
        <w:rPr>
          <w:b/>
        </w:rPr>
        <w:t>E. 8</w:t>
      </w:r>
    </w:p>
    <w:p>
      <w:r>
        <w:t>Nella misura in cui gli atti forniti dalla DGD sono sufficienti per statuire sul pre- sente gravame, da respingere è la richiesta del ricorrente di richiamare l’intero incarto della DGD n. 72-2020.20.</w:t>
      </w:r>
    </w:p>
    <w:p>
      <w:r>
        <w:rPr>
          <w:b/>
        </w:rPr>
        <w:t>E. 9</w:t>
      </w:r>
    </w:p>
    <w:p>
      <w:r>
        <w:t>In definitiva, il ricorso va respinto e le tre decisioni di chiusura impugnate, uni- tamente alle decisioni di entrata in materia e incidentali del 6 aprile e 10 agosto 2020, confermate. Nella misura in cui gli atti dell’incarto non permettono di con- cludere che la trasmissione spontanea d’informazioni del 13 luglio 2020 sia in- tervenuta in violazione delle esigenze legali, pure da disattendere è la relativa richiesta di annullamento.</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5'000.–, a carico del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