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 vom 22. April 2021</w:t>
      </w:r>
    </w:p>
    <w:p>
      <w:r>
        <w:t>Bundesstrafgericht, 2021-04-22, IT</w:t>
      </w:r>
    </w:p>
    <w:p>
      <w:r>
        <w:rPr>
          <w:b/>
        </w:rPr>
        <w:t xml:space="preserve">Quelle: </w:t>
      </w:r>
      <w:r>
        <w:t>https://mcp.opencaselaw.ch/entscheid/bstger_RR.2021.4</w:t>
      </w:r>
    </w:p>
    <w:p>
      <w:r>
        <w:t>FR: TPF RR.2021.4 du 22 avril 2021</w:t>
      </w:r>
    </w:p>
    <w:p>
      <w:r>
        <w:t>IT: TPF RR.2021.4 del 22 aprile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w:t>
      </w:r>
    </w:p>
    <w:p>
      <w:r>
        <w:t>- 4 -</w:t>
      </w:r>
    </w:p>
    <w:p>
      <w:r>
        <w:t>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 Con- venzione delle Nazioni Unite contro la corruzione (in seguito: UNCAC), con- clusa il 31 ottobre 2003, entrata in vigore per l’Italia il 4 novembre 2009 e per la Svizzera il 24 ottobre 2009 (RS 0.311.56), in particolare l’art. 46 richiamati gli art. 14 e 23. Alle questioni che il prevalente diritto internazionale contenuto in detti trattati non regola espressamente o implicitamente, come pure quando il diritto nazionale sia più favorevole all'assistenza rispetto a quello pattizio (co- 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 cipio di favore vale anche nell'applicazione delle pertinenti norme di diritto inter- nazionale (v. art. 48 n. 2 CAS, art. 39 n. 3 CRic e art. I n. 2 Accordo italo-sviz- 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i sopraccitati punti del dispositivo della de- cisione di chiusura (v. Fatti lett. D), il ricorso è ricevibile sotto il profilo degli art. 25 cpv. 1, 80e cpv. 1 e 80k AIMP. Titolare delle relazioni bancarie n. 1, n. 2, n. 3 e n. 4 presso banca E., oggetto della decisione impugnata, il ricorrente è legit- timato a ricorrere (v. art. 80h lett. b AIMP e art. 9a lett. a OAIMP nonché DTF 137 IV 134 consid. 5.2.1; 130 II 162 consid. 1.1; 128 II 211 consid. 2.3; TPF 2007 79 consid. 1.6 pag. 82).</w:t>
      </w:r>
    </w:p>
    <w:p>
      <w:r>
        <w:t>- 5 -</w:t>
      </w:r>
    </w:p>
    <w:p>
      <w:r>
        <w:rPr>
          <w:b/>
        </w:rPr>
        <w:t>E. 2</w:t>
      </w:r>
    </w:p>
    <w:p>
      <w:r>
        <w:t>Il ricorrente censura innanzitutto l’assenza di una decisione di delega d’esecu- zione al MP-TI da parte dell’UFG. Difetterebbero quindi tutte le necessarie con- siderazioni circa un esame sommario relativo alle esigenze formali e sull’am- missibilità previsto dall’AIMP.</w:t>
      </w:r>
    </w:p>
    <w:p>
      <w:r>
        <w:rPr>
          <w:b/>
        </w:rPr>
        <w:t>E. 2.1</w:t>
      </w:r>
    </w:p>
    <w:p>
      <w:r>
        <w:t>Giusta l’art. XVII par. 1 dell’Accordo italo-svizzero, le domande di assistenza giudiziaria, comprese quelle formulate dalle autorità amministrative di cui all’ar- ticolo II dello stesso Accordo, possono essere indirizzate direttamente all’auto- rità competente a eseguire il provvedimento relativo all’assistenza e restituite per la stessa via. Sono fatti salvi i casi di cui agli articoli XVIII e XIX dello stesso Accordo. L’art. 16 cpv. 1 AIMP prevede che i Cantoni cooperano all’esecuzione della procedura d’estradizione. Salvo diversa disposizione del diritto federale, incombe loro di eseguire le domande d’altra assistenza, di assumere il perse- guimento penale in via sostitutiva e di eseguire le decisioni penali. Essi sotto- stanno alla vigilanza della Confederazione in quanto debba essere applicata la presente legge. Secondo l’art. 78 AIMP, fatta salva la trasmissione diretta all’au- torità cantonale o federale competente per l’esecuzione, l’Ufficio federale riceve le domande estere (cpv. 1). L’Ufficio federale esamina sommariamente se la domanda soddisfa le esigenze formali e la trasmette all’autorità d’esecuzione competente, eccetto che sembri manifestamente inammissibile (cpv. 2).</w:t>
      </w:r>
    </w:p>
    <w:p>
      <w:r>
        <w:rPr>
          <w:b/>
        </w:rPr>
        <w:t>E. 2.2</w:t>
      </w:r>
    </w:p>
    <w:p>
      <w:r>
        <w:t>Ora, nella misura in cui, come nel caso concreto (v. act. 1.3, pag. 1), la rogatoria è stata trasmessa direttamente, come previsto dall’art. XVII par. 1 dell’Accordo italo-svizzero, al MP-TI quale autorità d’esecuzione, senza transitare quindi dall’UFG, una decisione di delega non risulta necessaria. In questi casi non vi è quindi nemmeno un esame sommario dell’ammissibilità della rogatoria da parte dell’UFG come previsto dall’art. 78 cpv. 2 AIMP, analisi che viene comun- que fatta direttamente secondo i più severi crismi dell’art. 80 AIMP dall’autorità d’esecuzione (v. KUSTER, Commentario basilese, 2015, n. 1-3 ad art. 80 AIMP) e il cui risultato, nella fattispecie, è contenuto nella decisione di entrata in ma- teria del 3 marzo 2020 (v. act. 1.4, pag. 3). La censura va quindi disattesa.</w:t>
      </w:r>
    </w:p>
    <w:p>
      <w:r>
        <w:rPr>
          <w:b/>
        </w:rPr>
        <w:t>E. 3</w:t>
      </w:r>
    </w:p>
    <w:p>
      <w:r>
        <w:t>Il ricorrente sostiene che la rogatoria presenterebbe gravi lacune motivazionali, nella misura in cui non emergerebbero con sufficiente chiarezza e precisione i reati perseguiti e i soggetti imputati. L’esame manifestamente superficiale dei requisiti formali della rogatoria e dei motivi di irricevibilità sfocerebbe in una de- terminazione errata da parte del MP-TI. La rogatoria sarebbe irricevibile anche alla luce dell’art. 2 lett. d AIMP.</w:t>
      </w:r>
    </w:p>
    <w:p>
      <w:r>
        <w:rPr>
          <w:b/>
        </w:rPr>
        <w:t>E. 3.1</w:t>
      </w:r>
    </w:p>
    <w:p>
      <w:r>
        <w:t>Per quanto attiene alla domanda di assistenza, gli art. 14 CEAG, 27 n. 1 CRic, art. 46 n. 15 UNCAC e 28 AIMP esigono in sostanza che essa sia scritta, che indichi l'ufficio da cui emana e all'occorrenza l'autorità competente per il proce- dimento penale, il suo oggetto, il motivo, la qualificazione giuridica del reato, i</w:t>
      </w:r>
    </w:p>
    <w:p>
      <w:r>
        <w:t>- 6 -</w:t>
      </w:r>
    </w:p>
    <w:p>
      <w:r>
        <w:t>dati, il più possibile precisi e completi, della persona contro cui è diretto il pro- cedimento penale, presentando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federale RR.2017.92 del 18 luglio 2017 consid. 2.2). L'autorità rogata non si scosta dall'esposto dei fatti contenuto nella domanda, fatti salvi gli errori, le lacune o altre contraddizioni evidenti ed immediatamente rilevati (DTF 142 IV 250 consid. 6.3; 136 IV 4 consid. 4.1; 133 IV 76 consid. 2.2; 132 II 81 consid. 2.1; 118 Ib 111 consid. 5b pag. 121 e seg; TPF 2011 194 consid. 2.1.).</w:t>
      </w:r>
    </w:p>
    <w:p>
      <w:r>
        <w:rPr>
          <w:b/>
        </w:rPr>
        <w:t>E. 3.2</w:t>
      </w:r>
    </w:p>
    <w:p>
      <w:r>
        <w:t>In concreto, richiamato quanto già esposto in precedenza (v. supra Fatti lett. A), nella sua rogatoria l’autorità italiana afferma che “in data 06 dicembre 2018, B. ha reso interrogatorio avanti al Giudice per le indagini preliminari di Milano for- nendo ampia confessione dei fatti contestati. In tale contesto B. ha rappresen- tato che nella sua attività di commercialista si è reso conto “che alcuni clienti delle banche avevano conti in Svizzera su cui arrivavano fondi da giri di fatture false” e che “i clienti avevano bisogno di ritirare i soldi da questi conti”. B., poi, nel corso dell’interrogatorio prosegue evidenziando che “siccome si cominciava a parlare di scambio di informazioni tra l’Italia e la Svizzera, le banche svizzere effettuavano questo servizio a tutela dei clienti: trasferivano alcuni conti o me- glio quasi tutti, presso le loro filiali di Bahamas. Il prelievo poteva essere effet- tuato direttamente in Svizzera come se il cliente si trovasse alle Bahamas”. Tut- tavia ad agosto del 2015 le banche hanno smesso di effettuare questo servizio ed a quel punto una serie di dirigenti bancari si sono rivolti a B. per chiedergli esplicitamente di farlo al loro posto. I primi a fargli questa richiesta sono stati C. (nato in Svizzera il 28/05/1963) e D. (nato in Svizzera il 20/05/1965, residente a Z.), due fratelli della banca E. che lavoravano per la clientela” (atto 3, pag. 1, incarto MP-TI). Per quanto riguarda più particolarmente il ricorrente, l’autorità rogante afferma che egli è “amministratore della società F. Srl risulta aver avuto rapporti commerciali con G. Gmbh, società veicolo creata da B. al fine di con- sentire alla società nazionale di sottofatturare in vendita spostando in capo a quest’ultima entità di diritto austriaco il margine della vendita al reale cliente. Sono state effettuate in data 06.02.2019 perquisizioni domiciliari e presso la sede della società. In data 20.03.2019 A. - mediante una memoria sottoscritta anche dal difensore di fiducia Avvocato H. ha ammesso di aver utilizzato tale meccanismo fraudolento e di aver ricevuto da B. la retrocessione, in contanti, del margine illecitamente allocato in territorio austriaco” (act. 1.3, pag. 18 e seg.). Nelle 48 pagine della rogatoria, l’autorità estera spiega ampiamente il</w:t>
      </w:r>
    </w:p>
    <w:p>
      <w:r>
        <w:t>- 7 -</w:t>
      </w:r>
    </w:p>
    <w:p>
      <w:r>
        <w:t>meccanismo messo in atto da B. e le persone fisiche e giuridiche implicate, tra cui vi è anche il ricorrente, il quale, come indicato dall’autorità estera, avrebbe già ammesso il suo coinvolgimento nel meccanismo fraudolento oggetto d’in- chiesta (v. ibidem, pag. 19). Dalla rogatoria emergono chiaramente anche i reati ipotizzati dall’autorità italiana, legati segnatamente all’utilizzo di fatture false fi- nalizzate alla frode fiscale e a operazioni di riciclaggio del denaro movimentato.</w:t>
      </w:r>
    </w:p>
    <w:p>
      <w:r>
        <w:t>Quanto precede soddisfa le esigenze normative e giurisprudenziali poste in ma- teria di esposto dei fatti. Non spetta del resto al giudice dell’assistenza appro- fondire ulteriormente la fattispecie oggetto d’inchiesta, tantomeno ottenere le prove dei contestati reati. Sarà proprio la documentazione litigiosa a permettere all’autorità estera di progredire nella sua attività investigativa e di acclarare ul- teriormente le condotte mosse a carico dei soggetti indagati. Certo, nella deci- sione impugnata il MP-TI indica in maniera precisa le disposizioni relative ai reati ipotizzati dall’autorità penale italiana, ossia l’associazione per delinquere (art. 416 CP/I), il riciclaggio (art. 648-bis CP/I), l’intestazione fittizia di beni (art. 512bis CP/I), l’emissione e utilizzo di fatture per operazioni inesistenti (art. 2 e</w:t>
      </w:r>
    </w:p>
    <w:p>
      <w:r>
        <w:rPr>
          <w:b/>
        </w:rPr>
        <w:t>E. 8</w:t>
      </w:r>
    </w:p>
    <w:p>
      <w:r>
        <w:t>Da quanto sopra discende che il ricorso va integralmente respinto e la decisione impugnata confermata.</w:t>
      </w:r>
    </w:p>
    <w:p>
      <w:r>
        <w:rPr>
          <w:b/>
        </w:rPr>
        <w:t>E. 9</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