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RR.2021.38 vom 14. Juni 2021</w:t>
      </w:r>
    </w:p>
    <w:p>
      <w:r>
        <w:t>Bundesstrafgericht, 2021-06-14, FR</w:t>
      </w:r>
    </w:p>
    <w:p>
      <w:r>
        <w:rPr>
          <w:b/>
        </w:rPr>
        <w:t xml:space="preserve">Quelle: </w:t>
      </w:r>
      <w:r>
        <w:t>https://mcp.opencaselaw.ch/entscheid/bstger_RR.2021.38</w:t>
      </w:r>
    </w:p>
    <w:p>
      <w:r>
        <w:t>FR: TPF RR.2021.38 du 14 juin 2021</w:t>
      </w:r>
    </w:p>
    <w:p>
      <w:r>
        <w:t>IT: TPF RR.2021.38 del 14 giugno 2021</w:t>
      </w:r>
    </w:p>
    <w:p>
      <w:pPr>
        <w:pStyle w:val="Heading2"/>
      </w:pPr>
      <w:r>
        <w:t>Regeste</w:t>
      </w:r>
    </w:p>
    <w:p>
      <w:r>
        <w:t>Entraide judiciaire internationale en matière pénale à la Malaisie. Remise de moyens de preuve (art. 74 EIMP); durée de la saisie (art. 33a OEIMP).</w:t>
      </w:r>
    </w:p>
    <w:p>
      <w:pPr>
        <w:pStyle w:val="Heading2"/>
      </w:pPr>
      <w:r>
        <w:t>Erwägungen</w:t>
      </w:r>
    </w:p>
    <w:p>
      <w:r>
        <w:rPr>
          <w:b/>
        </w:rPr>
        <w:t>E. 1.1</w:t>
      </w:r>
    </w:p>
    <w:p>
      <w:r>
        <w:t>La loi fédérale sur l’entraide internationale en matière pénale du 20 mars 1981 (EIMP; RS 351.1) ainsi que l’ordonnance y relative (ordonnance sur l’entraide internationale en matière pénale du 24 février 1982 [OEIMP; RS 351.11]) s’appliquent aux demandes d’entraide formées par la Malaisie, étant donné qu’aucun traité international ne régit les relations entre la Suisse et ledit Etat dans ce domaine.</w:t>
      </w:r>
    </w:p>
    <w:p>
      <w:r>
        <w:t>- 4 -</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 e al. 1 EIMP, mis en relation avec l'art. 37 al. 2 let. a ch. 1 de la loi fédérale sur l'organisation des autorités pénales de la Confédération [LOAP; RS 173.71]).</w:t>
      </w:r>
    </w:p>
    <w:p>
      <w:r>
        <w:rPr>
          <w:b/>
        </w:rPr>
        <w:t>E. 2</w:t>
      </w:r>
    </w:p>
    <w:p>
      <w:r>
        <w:t>La Cour de céans examine d’office la recevabilité des recours qui lui sont adressés (cf. par exemple arrêt du Tribunal pénal fédéral RR.2016.127 du 11 octobre 2016 consid. 3). En particulier il convient de déterminer in casu si la partie recourante a qualité pour recourir. De plus, est litigieux en l’espèce la désignation de l’entité qui a interjeté recours. Alors que le mémoire de recours mentionne le trust comme partie recourante, cette dernière défend agir au nom du trustee. Selon elle, retenir le trust comme recourant serait constitutif de formalisme excessif.</w:t>
      </w:r>
    </w:p>
    <w:p>
      <w:r>
        <w:rPr>
          <w:b/>
        </w:rPr>
        <w:t>E. 2.1.1</w:t>
      </w:r>
    </w:p>
    <w:p>
      <w:r>
        <w:t>Selon l’art. 80h let. b EIMP, la qualité pour recourir contre une mesure d’entraide judiciaire est reconnue à celui qui est personnellement et directement touché par la mesure d’entraide. Seul le titulaire du compte, qu’il soit ou non partie à la procédure peut recourir contre une saisie d’objets ou de valeurs (art. 9a OEIMP; arrêt du Tribunal fédéral 1B_21/2010 du 25 mars 2010 consid. 2.1).</w:t>
      </w:r>
    </w:p>
    <w:p>
      <w:r>
        <w:rPr>
          <w:b/>
        </w:rPr>
        <w:t>E. 2.1.2</w:t>
      </w:r>
    </w:p>
    <w:p>
      <w:r>
        <w:t>Selon une définition courante, le trust vise un rapport juridique dans lequel le constituant (le « settlor ») confie des biens patrimoniaux au « trustee », afin que ce dernier les gère dans l’intérêt d’un bénéficiaire ou dans un but déterminé, selon les termes de l’acte de trust. Les biens du trust sont réputés être la propriété du trustee, quand bien même ils constituent une masse distincte (Sondervermögen) et ne font pas partie de sa fortune personnelle. Le trustee, qui peut être une ou plusieurs personnes physiques, voir même une personne morale, est chargé d’administrer, de gérer ou de disposer des biens selon les termes du trust (art. 2 de la Convention de La Haye du 1er juillet 1985 relative à la loi applicable au trust et à sa reconnaissance [ci- après: Convention de La Haye; RS 0.221.371]; ATF 143 II 350 consid. 4.1 et 4.2 p. 356 s.; arrêts du Tribunal fédéral 6B_1051/2018 du 19 décembre 2018 consid. 1.2.2, 1B_21/2010 du 25 mars 2010 consid. 2.2, 5A_436/2011 du 12 avril 2012 consid. 9.3.1, publié in PJA 2013 p. 1695; GARBARSKI, Le lésé et la partie plaignante dans la jurisprudence récente du Tribunal fédéral, in SJ 2017 II 125, p. 128 s.). Le trust est dénué de la personnalité juridique et, partant, n’a pas la qualité pour ester en justice. Le Tribunal fédéral a déjà reconnu que le trustee, propriétaire des biens mis en trust et, partant, titulaire</w:t>
      </w:r>
    </w:p>
    <w:p>
      <w:r>
        <w:t>- 5 -</w:t>
      </w:r>
    </w:p>
    <w:p>
      <w:r>
        <w:t>du compte bancaire, était légitimé pour recourir contre le séquestre des avoirs déposés (arrêts du Tribunal fédéral 1B_21/2010 du 25 mars 2010 consid. 2.2; 6B_1051/2018 du 19 décembre 2018 consid. 1.2.2; v. également arrêt du Tribunal administratif fédéral A-535/2011 du 28 juin 2011 consid. 9.2).</w:t>
      </w:r>
    </w:p>
    <w:p>
      <w:r>
        <w:rPr>
          <w:b/>
        </w:rPr>
        <w:t>E. 2.2.1</w:t>
      </w:r>
    </w:p>
    <w:p>
      <w:r>
        <w:t>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(cf. ATF 135 I 6 consid. 2.1 p. 9). En tant qu’elle sanctionne un comportement répréhensible de l’autorité dans ses relations avec le justiciable, l’interdiction du formalisme excessif vise le même but que le principe de la bonne foi consacré aux art. 5 al. 3 et 9 Cst. Ce principe commande à l’autorité d’éviter de sanctionner par l’irrecevabilité les vices de procédure aisément reconnaissables qui auraient pu être redressés à temps, lorsqu’elle pouvait s’en rendre compte suffisamment tôt et les signaler utilement au plaideur (cf. ATF 125 I 166 consid. 3a p. 170; arrêts du Tribunal fédéral 1C_39/2013 du 11 mars 2013 consid. 2.1; 8C_411/2013 du 26 mars 2014 consid. 3.2).</w:t>
      </w:r>
    </w:p>
    <w:p>
      <w:r>
        <w:rPr>
          <w:b/>
        </w:rPr>
        <w:t>E. 2.2.2</w:t>
      </w:r>
    </w:p>
    <w:p>
      <w:r>
        <w:t>Dans des causes relevant du droit civil, le Tribunal fédéral a distingué la désignation inexacte d’une partie du défaut de qualité pour agir ou pour défendre (arrêt du Tribunal fédéral 4A_560/2015 du 20 mai 2016 consid. 4.2). Le défaut de qualité pour agir n’est pas susceptible de rectification, mais entraîne le rejet de la demande (ATF 142 III 782 consid. 3.2.2). Quant à la désignation inexacte d’une partie – que ce soit de son nom, de son domicile ou de son siège –, elle ne vise que l’inexactitude purement formelle qui affecte sa capacité d’être partie. Elle peut être rectifiée lorsqu’il n’existe dans l’esprit du juge et des parties aucun doute raisonnable sur l’identité de la partie, notamment lorsque son identité résulte de l’objet du litige (en procédure civile, cf. arrêt du Tribunal fédéral 4A_116/2015 du 9 novembre 2015 consid. 3.5.1, non publié in ATF 141 III 539; ATF 131 I 57 consid. 2.2; 114 II 335 consid. 3; en matière de poursuite pour dettes, cf. ATF 120 III 11 consid. 1b; 114 III 62 consid. 1a). Il doit donc s’agir d’une simple erreur rédactionnelle, aisément décelable et rectifiable (arrêt du Tribunal fédéral 4A_17/2016 du 29 juin 2016 consid. 2.2). Si le défaut ne peut être réparé, la demande doit être déclarée irrecevable (arrêt du Tribunal fédéral 4A_635/2016 du 22 janvier 2018 consid. 3.1.1).</w:t>
      </w:r>
    </w:p>
    <w:p>
      <w:r>
        <w:t>Dans un arrêt en matière d’enregistrement d’une marque suisse, le Tribunal administratif fédéral a fait sienne cette jurisprudence du Tribunal fédéral</w:t>
      </w:r>
    </w:p>
    <w:p>
      <w:r>
        <w:t>- 6 -</w:t>
      </w:r>
    </w:p>
    <w:p>
      <w:r>
        <w:t>(arrêt du Tribunal administratif fédéral B_5293/2018 du 17 août 2020 consid. 5.1.1.1).</w:t>
      </w:r>
    </w:p>
    <w:p>
      <w:r>
        <w:rPr>
          <w:b/>
        </w:rPr>
        <w:t>E. 2.3</w:t>
      </w:r>
    </w:p>
    <w:p>
      <w:r>
        <w:t>En l’espèce, le titulaire du compte visé par la décision d’entraide est C. Ltd as trustee of Trust A. Au vu de la jurisprudence précitée, la qualité pour agir appartient donc au trustee C. Ltd. Comme retenu à juste titre par l’autorité d’exécution dans sa réponse, le trust n’a pas de personnalité active qui lui permettrait de recourir. A la lecture du mémoire de recours, il apparaît que le recours a été formé par le trust et non par le trustee. Tant la page de garde désigne le trust comme partie recourante, que les conclusions ou la signature sont au nom du trust. On ne saurait donc voir in casu une inadvertance isolée retranscrite par erreur. La partie recourante défend que la désignation du trust, et non du trustee, est une simplification rédactionnelle. Néanmoins, le mémoire de recours ne précise jamais à quelque endroit que le trust agissait au nom du trustee, véritable titulaire du compte. Tel qu’il ressort de la jurisprudence ci-dessus, il n’est pas de coutume que le trust agisse au nom du trustee. Au contraire, un recours déposé par un trust est en principe sanctionné d’irrecevabilité. Même si la procuration produite (act. 1.4) au moment du recours désigne comme mandant « D. Ltd as trustee of Trust A.», ce document ne saurait occulter le fait qu’en l’espèce, sur le mémoire de recours, est inscrit le trust en tant que partie recourante. De plus, dite procuration datée du 3 mars 2017 concerne en particulier la procédure devant le MPC et non celle devant la Cour de céans. Partant, au moment d’interjeter recours, il n’apparaît pas que le trustee avait donné son accord formel à être représenté dans cette procédure, seule entité alors admise à déposer un recours en tant que titulaire. De plus, ce n’est qu’après l’échéance du délai pour recourir et à la demande de la Cour de compléter le recours, que la partie recourante a précisé que le trust était en réalité représenté par son trustee, en joignant à sa lettre une nouvelle procuration, dont la date est ultérieure au dépôt du recours. Enfin, la partie recourante ne saurait tirer un quelconque droit du fait que l’autorité d’exécution a usé du nom du trust pour désigner le trustee. En effet, le MPC a explicité dans la décision querellée, lors de sa première mention, utiliser le nom du trust « Trust A. » par souci de simplification, à la place de C. Ltd as trustee of Trust A., ce dont la partie recourante n’a pas appliqué dans son recours. La légitimation active est une condition essentielle de recevabilité qui, si elle fait défaut, conduit à l’irrecevabilité du recours. Contrairement à l’opinion de la partie recourante, il s’agit ici d’un défaut auquel il ne peut pas être remédié et ce sans faire preuve de formalisme excessif.</w:t>
      </w:r>
    </w:p>
    <w:p>
      <w:r>
        <w:rPr>
          <w:b/>
        </w:rPr>
        <w:t>E. 3</w:t>
      </w:r>
    </w:p>
    <w:p>
      <w:r>
        <w:t>Partant, le recours formé par Trust A. doit être déclaré irrecevable.</w:t>
      </w:r>
    </w:p>
    <w:p>
      <w:r>
        <w:t>- 7 -</w:t>
      </w:r>
    </w:p>
    <w:p>
      <w:r>
        <w:rPr>
          <w:b/>
        </w:rPr>
        <w:t>E. 4</w:t>
      </w:r>
    </w:p>
    <w:p>
      <w:r>
        <w:t>En règle générale, les frais de procédure comprenant l’émolument d’arrêté, les émoluments de chancellerie et les débours sont mis à charge des parties qui succombent (art. 63 al. 1 de la loi fédérale sur la procédure administrative [PA; RS 172.021], applicable par renvoi de l'art. 39 LOAP). La partie dont le recours est irrecevable est également considéré avoir succombé. Il incombe donc à la partie recourante de supporter les frais du présent arrêt, fixés à CHF 2’000.-- (v. art. 73 al. 2 LOAP; art. 8 al. 3 du règlement du 31 août 2010 du Tribunal pénal fédéral sur les frais, émoluments, dépens et indemnités de la procédure pénale fédérale [RFPPF; RS 173.713.162]; art. 63 al. 5PA). Ces frais sont entièrement couverts par l’avance de frais de CHF 6’000.-- déjà versée. Le solde de CHF 4’000.-- sera restitué à la partie recourante par la Caisse du Tribunal pénal fédéral.</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