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RR.2021.36 vom 30. April 2021</w:t>
      </w:r>
    </w:p>
    <w:p>
      <w:r>
        <w:t>Bundesstrafgericht, 2021-04-30, DE</w:t>
      </w:r>
    </w:p>
    <w:p>
      <w:r>
        <w:rPr>
          <w:b/>
        </w:rPr>
        <w:t xml:space="preserve">Quelle: </w:t>
      </w:r>
      <w:r>
        <w:t>https://mcp.opencaselaw.ch/entscheid/bstger_RR.2021.36</w:t>
      </w:r>
    </w:p>
    <w:p>
      <w:r>
        <w:t>FR: TPF RR.2021.36 du 30 avril 2021</w:t>
      </w:r>
    </w:p>
    <w:p>
      <w:r>
        <w:t>IT: TPF RR.2021.36 del 30 aprile 2021</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 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agreements/EU-acts-register/8/8.1) i.V.m. dem Beschluss des Rates 2007/533/JI vom 12. Juni 2007 über die Einrichtung, den Betrieb und die Nutzung des Schengener Informationssystems der zweiten Generation (SIS II), namentlich Art. 26–31 (CELEX-Nr. 32007D0533; Abl. L 205 vom 7. Au- gust 2007, S. 63–84;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w:t>
      </w:r>
    </w:p>
    <w:p>
      <w:r>
        <w:t>- 4 -</w:t>
      </w:r>
    </w:p>
    <w:p>
      <w:r>
        <w:t>41996A1023(02); Abl. C 313 vom 23. Oktober 1996, S. 12–23), welche ge- mäss dem Beschluss des Rates 2003/169/JI vom 27. Februar 2003 (CELEX- Nr. 32003D0169; Abl. L 67 vom 12. März 2003, S. 25 f.; abrufbar unter «Rechtssammlung zu den sektoriellen Abkommen mit der EU», 8.2 Anhang B) eine Weiterentwicklung des Schengen-Besitzstands darstellen.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145 IV 294 E. 2.1 S. 297; 142 IV 250 E. 3; 140 IV 123 E. 2 S. 126; jeweils m.w.H.). Vorbehalten bleibt die Wahrung der Menschenrechte (BGE 145 IV 294 E. 2.1 S. 297; 123 II 595 E. 7c S. 617; TPF 2016 65 E. 1.2).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t>- 5 -</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Der Beschwerdeführer bringt vor, die Auslieferung beruhe auf einem nicht gesetzes- und praxiskonformen Urteil. Er sei nach wie vor der Auffassung, dass seine Einwendungen im Strafverfahren nicht richtig gewichtet worden seien.</w:t>
      </w:r>
    </w:p>
    <w:p>
      <w:r>
        <w:rPr>
          <w:b/>
        </w:rPr>
        <w:t>E. 4.2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w:t>
      </w:r>
    </w:p>
    <w:p>
      <w:r>
        <w:rPr>
          <w:b/>
        </w:rPr>
        <w:t>E. 4.3</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Entscheide des Bundesstrafgerichts RH.2014.3 vom 5. März 2014 E. 9.4; RR.2013.89 vom 25. Juni 2013 E. 4.5; RR.2012.259 vom 28. Mai 2013 E. 5.3). Entsprechendes vermag der Beschwerdeführer mit seinen Vor- bringen nicht darzutun.</w:t>
      </w:r>
    </w:p>
    <w:p>
      <w:r>
        <w:rPr>
          <w:b/>
        </w:rPr>
        <w:t>E. 4.4</w:t>
      </w:r>
    </w:p>
    <w:p>
      <w:r>
        <w:t>Die Beschwerde erweist sich in diesem Punkt als unbegründet.</w:t>
      </w:r>
    </w:p>
    <w:p>
      <w:r>
        <w:rPr>
          <w:b/>
        </w:rPr>
        <w:t>E. 5.1</w:t>
      </w:r>
    </w:p>
    <w:p>
      <w:r>
        <w:t>Der Beschwerdeführer bringt vor, dass eine Auslieferung aufgrund seines Gesundheitszustands praktisch undurchführbar sei. Eine Transportfähigkeit sei unter diesen Umständen nicht gegeben. Auch wenn die medizinische Be- treuung gemäss Ansicht des Beschwerdegegners im Auslieferungsland si- chergestellt sein solle, gelte dies für den eigentlichen Vollzug der Ausliefe- rung vorliegend nicht.</w:t>
      </w:r>
    </w:p>
    <w:p>
      <w:r>
        <w:t>- 6 -</w:t>
      </w:r>
    </w:p>
    <w:p>
      <w:r>
        <w:rPr>
          <w:b/>
        </w:rPr>
        <w:t>E. 5.2</w:t>
      </w:r>
    </w:p>
    <w:p>
      <w:r>
        <w:t>Weder das EAUe noch das IRSG sehen die Möglichkeit vor, eine Ausliefe- rung aus gesundheitlichen Gründen zu verweigern. Weder die Schweiz noch Deutschland haben einen entsprechenden Vorbehalt zum EAUe gemacht. Nach ständiger Rechtsprechung kann daher ein Auslieferungsersuchen grundsätzlich nicht wegen des schlechten Gesundheitszustands des Ver- folgten abgelehnt werden. Es ist Sache des ersuchenden Staates dafür zu sorgen, dass die auszuliefernde Person eine angemessene medizinische Behandlung bekommt und ihrem Gesundheitszustand entsprechend unter- gebracht oder allenfalls, mangels Hafterstehungsfähigkeit, aus der Haft ent- lassen wird (vgl. nicht veröffentlichte E. 8 von BGE 129 II 56; Urteil des Bun- desgerichts 1A.116/2003 vom 26. Juni 2003 E. 2.1 mit Hinweisen).</w:t>
      </w:r>
    </w:p>
    <w:p>
      <w:r>
        <w:rPr>
          <w:b/>
        </w:rPr>
        <w:t>E. 5.3</w:t>
      </w:r>
    </w:p>
    <w:p>
      <w:r>
        <w:t>Die Frage, ob im Zeitpunkt des Vollzugs (des rechtskräftigen Entscheids) eine Transportunfähigkeit des Beschwerdeführers vorliegen könnte (bzw. ob der Vollzug deswegen aufgeschoben werden müsste; vgl. HEIMGARTNER, Basler Kommentar, 2015, Art. 56 IRSG N. 9), bildet nicht Gegenstand des angefochtenen Auslieferungsentscheids. Der Beschwerdegegner hält in die- sem Zusammenhang in seiner Beschwerdeantwort fest, dass die Transport- fähigkeit des Beschwerdeführers – falls nötig – zu gegebener Zeit abgeklärt werde. Im Übrigen ist nicht ersichtlich, inwiefern die vorgebrachten gesund- heitlichen Beschwerden (erhöhter Blutdruck, erhebliche kardiologische Prob- leme, Schmerzen in seinem rechten Arm durch Muskel- und Sehnenverkür- zungen) dem Vollzug seiner Auslieferung entgegenstehen könnten.</w:t>
      </w:r>
    </w:p>
    <w:p>
      <w:r>
        <w:rPr>
          <w:b/>
        </w:rPr>
        <w:t>E. 5.4</w:t>
      </w:r>
    </w:p>
    <w:p>
      <w:r>
        <w:t>Die Beschwerde erweist sich auch in diesem Punkt als unbegründet.</w:t>
      </w:r>
    </w:p>
    <w:p>
      <w:r>
        <w:rPr>
          <w:b/>
        </w:rPr>
        <w:t>E. 6.1</w:t>
      </w:r>
    </w:p>
    <w:p>
      <w:r>
        <w:t>Der Beschwerdeführer bringt vor, er habe mit Datum vom 4. Februar 2021 bei der Staatsanwaltschaft Rheinland-Pfalz ein Gnadengesuch eingereicht. Es sei davon auszugehen, dass kein Auslieferungsinteresse des gesuchstel- lenden Landes mehr bestehe.</w:t>
      </w:r>
    </w:p>
    <w:p>
      <w:r>
        <w:rPr>
          <w:b/>
        </w:rPr>
        <w:t>E. 6.2</w:t>
      </w:r>
    </w:p>
    <w:p>
      <w:r>
        <w:t>Wie es sich damit im Einzelnen verhält, kann offenbleiben. Es ist nicht Auf- gabe der schweizerischen Behörden, allfällige in der Zwischenzeit im ersu- chenden Staat ergangene Entscheide zu interpretieren. Solange das Rechtshilfeersuchen nicht zurückgezogen worden ist, ist es zu erledigen (Entscheide des Bundesstrafgerichts RR.2016.148 vom 20. September 2016 E. 3.7; RR.2013.212 vom 19. November 2013 E. 4.1.4 m.w.H.). Insofern be-</w:t>
      </w:r>
    </w:p>
    <w:p>
      <w:r>
        <w:t>- 7 -</w:t>
      </w:r>
    </w:p>
    <w:p>
      <w:r>
        <w:t>steht auch kein Anlass, das Verfahren an den Beschwerdegegner zurückzu- weisen zur Überprüfung eines noch bestehenden Auslieferungsinteresses des Justizministeriums Rheinland-Pfalz.</w:t>
      </w:r>
    </w:p>
    <w:p>
      <w:r>
        <w:rPr>
          <w:b/>
        </w:rPr>
        <w:t>E. 6.3</w:t>
      </w:r>
    </w:p>
    <w:p>
      <w:r>
        <w:t>Die Beschwerde erweist sich auch in diesem Punkt als unbegründet.</w:t>
      </w:r>
    </w:p>
    <w:p>
      <w:r>
        <w:rPr>
          <w:b/>
        </w:rPr>
        <w:t>E. 7</w:t>
      </w:r>
    </w:p>
    <w:p>
      <w:r>
        <w:t>Weitere Gründe, die der Auslieferung des Beschwerdeführers entgegenste- hen könnten, werden weder geltend gemacht noch sind solche ersichtlich. Die Beschwerde erweist sich als unbegründet und ist daher abzuweisen.</w:t>
      </w:r>
    </w:p>
    <w:p>
      <w:r>
        <w:rPr>
          <w:b/>
        </w:rPr>
        <w:t>E. 8.1</w:t>
      </w:r>
    </w:p>
    <w:p>
      <w:r>
        <w:t>Der Beschwerdeführer macht geltend, er sei nach wie vor nicht in der Lage, irgendwelche Gerichts- und Anwaltskosten zu bezahlen. Daher sei ihm die unentgeltliche Rechtspflege zu gewähren und Fürsprecher Harold Külling zu seinem unentgeltlichen Rechtsvertreter zu ernennen (RP.2021.7,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8.3</w:t>
      </w:r>
    </w:p>
    <w:p>
      <w:r>
        <w:t>Die vorliegende Beschwerde muss als aussichtslos im Sinne von Art. 65 Abs. 1 VwVG bezeichnet werden. Der angefochtene Auslieferungsentscheid steht im Einklang mit der Rechtsprechung und den bestehenden anerkann- ten Grundsätzen im Auslieferungsrecht. Die erhobenen Rügen stehen im klaren Widerspruch zu den genannten Grundsätzen. Demzufolge ist das Ge- such des Beschwerdeführers um unentgeltliche Rechtspflege abzuweisen. Bei der Festsetzung der Gerichtsgebühr kann gemäss Art. 5 des Reglements des Bundesstrafgerichts vom 31. August 2010 über die Kosten, Gebühren und Entschädigungen in Bundesstrafverfahren (BStKR; SR 173.713.162) der finanziellen Situation des Beschwerdeführers Rechnung getragen wer- den.</w:t>
      </w:r>
    </w:p>
    <w:p>
      <w:r>
        <w:t>- 8 -</w:t>
      </w:r>
    </w:p>
    <w:p>
      <w:r>
        <w:rPr>
          <w:b/>
        </w:rPr>
        <w:t>E. 9</w:t>
      </w:r>
    </w:p>
    <w:p>
      <w:r>
        <w:t>Bei diesem Ausgang des Verfahrens sind die Gerichtskosten dem Be- schwerdeführer aufzuerlegen (Art. 63 Abs. 1 VwVG). Die Gerichtsgebühr ist namentlich unter Berücksichtigung der finanziellen Situation des Beschwer- deführers auf Fr. 1'500.– festzusetzen (vgl. Art. 63 Abs. 5 VwVG i.V.m. Art. 73 StBOG sowie Art. 5 und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