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RR.2021.31 vom 27. Oktober 2021</w:t>
      </w:r>
    </w:p>
    <w:p>
      <w:r>
        <w:t>Bundesstrafgericht, 2021-10-27, FR</w:t>
      </w:r>
    </w:p>
    <w:p>
      <w:r>
        <w:rPr>
          <w:b/>
        </w:rPr>
        <w:t xml:space="preserve">Quelle: </w:t>
      </w:r>
      <w:r>
        <w:t>https://mcp.opencaselaw.ch/entscheid/bstger_RR.2021.31</w:t>
      </w:r>
    </w:p>
    <w:p>
      <w:r>
        <w:t>FR: TPF RR.2021.31 du 27 octobre 2021</w:t>
      </w:r>
    </w:p>
    <w:p>
      <w:r>
        <w:t>IT: TPF RR.2021.31 del 27 ottobre 2021</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2.1</w:t>
      </w:r>
    </w:p>
    <w:p>
      <w:r>
        <w:t>L'entraide judiciaire entre la République française et la Confédération suisse est prioritairement régie par la Convention européenne d'entraide judiciaire en matière pénale du 20 avril 1959 (CEEJ; RS 0.351.1), entrée en vigueur pour la Suisse le 20 mars et pour la France le 21 août 1967, ainsi que par le Deuxième Protocole additionnel à ladite Convention, entré en vigueur pour la Suisse le 1er février 2005 et pour l'Etat requérant le 1er juin 2012 (RS 0.351.12) et par l'Accord entre le Conseil fédéral suisse et le Gouvernement de la République française en vue de compléter la CEEJ (Accord bilatéral; RS 0.351.934.92), conclu le 28 octobre 1996 et en vigueur depuis le 1er mai 2000. Peuvent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ainsi que les art. 43 ss de la Convention des Nations Unies contre la corruption, entrée en vigueur pour la France le 14 décembre 2005 et pour la Suisse le 24 octobre 2009 (UNCAC; RS 0.311.56).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FF 2004 5593, 5807-5827), appliqué provisoirement par la Suisse et la France dès le 8 avril 2009.</w:t>
      </w:r>
    </w:p>
    <w:p>
      <w:r>
        <w:rPr>
          <w:b/>
        </w:rPr>
        <w:t>E. 2.2</w:t>
      </w:r>
    </w:p>
    <w:p>
      <w:r>
        <w:t>Les dispositions de ces traités l'emportent sur le droit interne qui régit la</w:t>
      </w:r>
    </w:p>
    <w:p>
      <w:r>
        <w:t>- 6 -</w:t>
      </w:r>
    </w:p>
    <w:p>
      <w:r>
        <w:t>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3</w:t>
      </w:r>
    </w:p>
    <w:p>
      <w:r>
        <w:t>La Cour de céans examine d'office la recevabilité des recours qui lui sont adressés (cf. par exemple arrêt du Tribunal pénal fédéral RR.2016.127 du 11 octobre 2016 consid. 3).</w:t>
      </w:r>
    </w:p>
    <w:p>
      <w:r>
        <w:rPr>
          <w:b/>
        </w:rPr>
        <w:t>E. 3.1</w:t>
      </w:r>
    </w:p>
    <w:p>
      <w:r>
        <w:t>Formé dans les trente jours à compter de la notification de la décision attaquée, le recours a été déposé en temps utile (v. art. 80k EIMP).</w:t>
      </w:r>
    </w:p>
    <w:p>
      <w:r>
        <w:rPr>
          <w:b/>
        </w:rPr>
        <w:t>E. 3.2</w:t>
      </w:r>
    </w:p>
    <w:p>
      <w:r>
        <w:t>A teneur de l'art. 80h let. b EIMP, a qualité pour recourir quiconque est personnellement et directement touché par une mesure d'entraide et a un intérêt digne de protection à ce qu'elle soit annulée ou modifiée. En application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RR.2011.113 du 28 juillet 2011 consid. 1.4; RR.2010.291 du 22 mars 2011 consid. 1.2).</w:t>
      </w:r>
    </w:p>
    <w:p>
      <w:r>
        <w:rPr>
          <w:b/>
        </w:rPr>
        <w:t>E. 3.3</w:t>
      </w:r>
    </w:p>
    <w:p>
      <w:r>
        <w:t>En l'occurrence, les documents à transmettre ont été saisis chez le recourant lors de la perquisition à son domicile. Il dispose donc incontestablement de la qualité pour recourir.</w:t>
      </w:r>
    </w:p>
    <w:p>
      <w:r>
        <w:rPr>
          <w:b/>
        </w:rPr>
        <w:t>E. 3.4</w:t>
      </w:r>
    </w:p>
    <w:p>
      <w:r>
        <w:t>Au vu de ce qui précède, le recours est recevable et il y a lieu d'entrer en matière.</w:t>
      </w:r>
    </w:p>
    <w:p>
      <w:r>
        <w:rPr>
          <w:b/>
        </w:rPr>
        <w:t>E. 4</w:t>
      </w:r>
    </w:p>
    <w:p>
      <w:r>
        <w:t>Comme unique grief, le recourant invoque une violation du principe de la proportionnalité en lien avec plusieurs documents qu’il considère comme étant non pertinents pour les autorités requérantes.</w:t>
      </w:r>
    </w:p>
    <w:p>
      <w:r>
        <w:rPr>
          <w:b/>
        </w:rPr>
        <w:t>E. 4.1</w:t>
      </w:r>
    </w:p>
    <w:p>
      <w:r>
        <w:t>De manière générale, selon la jurisprudence relative au principe de la proportionnalité, lequel découle de l’art. 63 al. 1 EIMP, la question de savoir</w:t>
      </w:r>
    </w:p>
    <w:p>
      <w:r>
        <w:t>- 7 -</w:t>
      </w:r>
    </w:p>
    <w:p>
      <w:r>
        <w:t>si les renseignements demandés sont nécessaires ou simplement utiles à la procédure pénale est en principe laissé à l’appréciation des autorités de poursuite de l’État requérant (ATF 139 II 404 consid. 7.2.2; 136 IV 82 consid. 4.1; arrêt du Tribunal fédéral 1C_582/2015 du 10 novembre 2015 consid. 1.4).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w:t>
      </w:r>
    </w:p>
    <w:p>
      <w:r>
        <w:t>- 8 -</w:t>
      </w:r>
    </w:p>
    <w:p>
      <w:r>
        <w:t>l’État requérant (arrêt du Tribunal pénal fédéral RR.2019.172+173 précité consid. 3.1 et références citées; ZIMMERMANN, La coopération judiciaire internationale en matière pénale, 5e éd. 2019, n° 723 p. 798 ss).</w:t>
      </w:r>
    </w:p>
    <w:p>
      <w:r>
        <w:rPr>
          <w:b/>
        </w:rPr>
        <w:t>E. 4.2</w:t>
      </w:r>
    </w:p>
    <w:p>
      <w:r>
        <w:t>Plus spécifiquement, le recourant retient d’abord (act. 1 no 24) que c’est à tort que le MPC a estimé que les données concernant des opérations effectuées durant la période allant de juin 2007 à mars 2012 en lien avec les sociétés Q. Ltd et R. SA devaient être transmises. Il fait en effet valoir que ces informations concernent une période précédant celle durant laquelle les infractions auraient été commises, soit du 1er octobre 2012 au 30 septembre 2014. Le MPC souligne pour sa part que Q. Ltd et son ayant-droit économique S. ont été expressément visés par la demande d’entraide vu leur achat de CFD en avril 2014. Quant à R. SA, même si elle n’est pas mentionnée dans la demande d’entraide, un arrêt de la Cour de céans (arrêt du Tribunal pénal fédéral RR.2016.13 du 6 avril 2016, confirmé par l’arrêt du Tribunal fédéral 1C_172/2016 du 10 juin 2016) a considéré que les données y relatives étaient d’intérêt pour les autorités requérantes. Les documents en question consistent notamment en des mails informant notamment A. de versements en faveur de diverses sociétés dont R. SA, mais également C. SA. Y figurent aussi un Formulaire A, non signé, établissant l’identité de l’ayant droit économique de la société Q. Ltd, ainsi qu’un projet visant à la gestion de portefeuille entre cette dernière et C. SA. Il est incontestable que ces données sortent de la période temporelle définie par les demandes d’entraide. Il reste qu’elles concernent toutes des personnes mises en cause dans ces dernières ou des personnes morales leur étant liées. On ne peut donc exclure que la remise de ces données puisse être utile aux autorités requérantes. C’est le lieu de rappeler qu’il est admis de transmettre de la documentation allant au-delà de la période visée par les autorités requérantes. En effet, il importe de transmettre une documentation aussi complète que possible, comprenant également des informations relatives à des relations d'affaires liées aux recourants, cela notamment afin d'éviter une éventuelle demande d'entraide complémentaire, étant précisé qu'il ne s'agit pas uniquement d'aider l'Etat requérant à prouver des faits qu'il a déjà découverts, mais également d'en dévoiler d'autres, s'ils existent (supra consid. 4.1). Le grief est donc rejeté.</w:t>
      </w:r>
    </w:p>
    <w:p>
      <w:r>
        <w:rPr>
          <w:b/>
        </w:rPr>
        <w:t>E. 4.3</w:t>
      </w:r>
    </w:p>
    <w:p>
      <w:r>
        <w:t>Le recourant relève par ailleurs (act. 1 no 25) qu’un document comportant le numéro 2 était intégré à un courriel (1-711) dont il a accepté la transmission simplifiée et qui, de ce fait, a déjà été remis à l’autorité requérante, mais figurait également en annexe à un courriel n°3 qu’il avait qualifié, lors du tri, de pièce non pertinente ne devant pas être communiquée aux autorités</w:t>
      </w:r>
    </w:p>
    <w:p>
      <w:r>
        <w:t>- 9 -</w:t>
      </w:r>
    </w:p>
    <w:p>
      <w:r>
        <w:t>française. Il considère donc que compte tenu de cette contradiction, le MPC aurait dû l’interpeller avant toute transmission. Le recourant ne peut être suivi. De fait,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Il appartenait donc au recourant de faire valoir lors du tri le fait que le même document figurait en annexe à deux courriels différents qu’il entendait classer dans deux catégories distinctes dont une à propos de laquelle il refusait la transmission. Dans la mesure où il ne l’a pas fait, il ne peut aujourd’hui reprocher à l’autorité d’exécution de ne pas l’avoir interpellé à ce sujet. Cela scelle le sort de ce grief.</w:t>
      </w:r>
    </w:p>
    <w:p>
      <w:r>
        <w:rPr>
          <w:b/>
        </w:rPr>
        <w:t>E. 4.4</w:t>
      </w:r>
    </w:p>
    <w:p>
      <w:r>
        <w:t>Le recourant conteste également la transmission déjà survenue d’une facture d’honoraires émise à son égard par un avocat avec le détail des services procurés (act. 1 no 26). Lors du tri, le recourant avait relevé que ces données étaient couvertes par le secret professionnel. Dans la décision entreprise, le MPC a certes écarté de la remise tous les documents couverts par le secret de l’avocat. Toutefois, ladite facture était intégrée également à un courriel que le recourant avait désigné comme pouvant être transmis et a de ce fait déjà été communiquée aux autorités françaises. Le MPC retient dès lors ne plus pouvoir statuer à ce sujet. Le recourant demande donc que la pièce en question soit retirée des éléments auxquels l’autorité requérante est autorisée à avoir accès. En l’espèce, ainsi que le reconnaît le MPC, la pièce concernée, couverte par le secret professionnel, n’aurait effectivement pas dû être remise à l’autorité étrangère. Toutefois, elle ne saurait lui être retirée dans la mesure où d’une part l’autorité requérante ne saurait pâtir d’une erreur commise à son avantage par les autorités de l’Etat requis (ZIMMERMANN, op. cit., no 203). En outre, pour ce document également le recourant aurait dû, lors du tri, attirer l’attention de l’autorité d’exécution du fait que la même pièce figurait dans deux catégories différentes dont celle qui contenait des pièces pour lesquelles il admettait une remise simplifiée. Le grief est donc écarté.</w:t>
      </w:r>
    </w:p>
    <w:p>
      <w:r>
        <w:rPr>
          <w:b/>
        </w:rPr>
        <w:t>E. 4.5</w:t>
      </w:r>
    </w:p>
    <w:p>
      <w:r>
        <w:t>Le recourant s’oppose par ailleurs au fait que les données portant sur les investissements effectués par C. SA pour le compte d’autres clients sont également considérées comme pertinentes par le MPC (act. 1 no 27). Il conteste leur intérêt pour l’autorité requérante au seul motif que les investissements visés couvrent les actions T., L., F. et O. et précise que les</w:t>
      </w:r>
    </w:p>
    <w:p>
      <w:r>
        <w:t>- 10 -</w:t>
      </w:r>
    </w:p>
    <w:p>
      <w:r>
        <w:t>clients concernés ne sont pas visés par les demandes d’entraide. Le recourant ne peut être suivi. La plupart des documents en question sont des confirmations d’achat et de vente sur des titres qui sont directement désignés dans les demandes d’entraide et pour des opérations intervenues durant la période indiquée par les autorités requérantes. Ces données permettront de déterminer quelle était éventuellement la stratégie d’investissement adoptée sur les titres concernés par les personnes visées par l’enquête française.</w:t>
      </w:r>
    </w:p>
    <w:p>
      <w:r>
        <w:rPr>
          <w:b/>
        </w:rPr>
        <w:t>E. 4.6</w:t>
      </w:r>
    </w:p>
    <w:p>
      <w:r>
        <w:t>Le recourant fait valoir que c’est à tort que le MPC a retenu que les données relatives à la participation de C. SA dans des investissements immobiliers gérés par la société française AA. étaient pertinentes. Il souligne en outre que ces informations n’ont pas été requises par l’autorité requérante et que de ce fait, elles n’ont pas à être transmises (act. 1 no 28). Le MPC considère que, ce nonobstant, elles pourraient être utiles aux autorités françaises pour suivre le cheminement des fonds utilisés par C. SA. Les documents concernés, tous établis le 3 mars 2014, consistent en différents actes de cautionnement solidaire lié à un contrat d’émission d’obligations pour un total d’euros 5 millions de la société AA., dont C. SA est, selon le bulletin de souscription, une souscriptrice à hauteur d’euros 1'600’000.--. Figurent également parmi ces papiers, des actes de nantissement et de séquestre ainsi que des contrats d’émission des obligations dans le contexte de cette opération. Il est vrai que ces éléments n’ont pas été expressément requis dans la demande d’entraide. Il reste que cette dernière vise notamment à identifier la destination des plus-values réalisées. Or, précisément en mars 2014, C. SA a réalisé une plus-value d’euros 1'137’007.-- en lien avec des CFD G. et H. On ne peut donc exclure que la remise de ces données puisse être utiles aux autorités requérantes afin d’identifier la destination des plus-values réalisées. Le grief est donc rejeté.</w:t>
      </w:r>
    </w:p>
    <w:p>
      <w:r>
        <w:rPr>
          <w:b/>
        </w:rPr>
        <w:t>E. 4.7</w:t>
      </w:r>
    </w:p>
    <w:p>
      <w:r>
        <w:t>Enfin, le recourant considère que c’est de façon erronée que le MPC a retenu comme pertinentes les données relatives à des factures des cartes de crédit et des échanges avec des sociétés non mentionnées dans les demandes d’entraide (act. 1 no 29). Il fait valoir que l’utilisation de la carte de crédit l’était uniquement à des fins strictement personnelles.</w:t>
      </w:r>
    </w:p>
    <w:p>
      <w:r>
        <w:t>Contrairement à ce que soutient le recourant, les documents querellés qui consistent entre autres en une décharge de N. à la banque BB. de payer toutes les factures de ses cartes de crédit qui auront été présentées à la banque par C. SA permettent de préciser d’abord quelles sont les relations</w:t>
      </w:r>
    </w:p>
    <w:p>
      <w:r>
        <w:t>- 11 -</w:t>
      </w:r>
    </w:p>
    <w:p>
      <w:r>
        <w:t>entre C. SA et N., ce en mars 2014, période des opérations sous enquête. Partant, le grief est rejeté. Finalement, les données faisant référence à d’autres sociétés portent sur les préparatifs de l’audit mené en 2014 auprès de C. SA. Y figurent notamment des échanges de mails, mais également le procès-verbal de l’assemblée générale de C. SA en février 2014 y compris le bilan de la société pour la période allant du 24 septembre au 31 décembre 2013, soit durant la période incriminée pour les infractions concernées. Ces documents sont indubitablement aptes à fournir des informations quant au fonctionnement de C. SA et sont donc pertinents pour les investigations des autorités requérantes.</w:t>
      </w:r>
    </w:p>
    <w:p>
      <w:r>
        <w:rPr>
          <w:b/>
        </w:rPr>
        <w:t>E. 4.8</w:t>
      </w:r>
    </w:p>
    <w:p>
      <w:r>
        <w:t>Il résulte dès lors des considérations qui précèdent que le principe de la proportionnalité n’a pas été violé.</w:t>
      </w:r>
    </w:p>
    <w:p>
      <w:r>
        <w:rPr>
          <w:b/>
        </w:rPr>
        <w:t>E. 5</w:t>
      </w:r>
    </w:p>
    <w:p>
      <w:r>
        <w:t>Mal fondé, le recours est rejeté.</w:t>
      </w:r>
    </w:p>
    <w:p>
      <w:r>
        <w:rPr>
          <w:b/>
        </w:rPr>
        <w:t>E. 6</w:t>
      </w:r>
    </w:p>
    <w:p>
      <w:r>
        <w:t>Compte tenu de l'issue du litige, le recourant, qui succombe, supportera les frais de procédure sans pouvoir prétendre à des dépens (art. 63 al. 1 de la loi sur la procédure administrative [PA; RS 172.021], applicable par renvoi de l'art. 39 al. 2 let. b LOAP). Ces frais prendront en l'espèce la forme d'un émolument qui, en application des art. 5 et 8 du règlement du Tribunal pénal fédéral sur les frais, émoluments, dépens et indemnités de la procédure pénale fédérale (RS 173.713.162), sera fixé à CHF 5'000.--, montant couvert par l'avance de frais déjà versée (v. act. 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