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RR.2021.290 vom 28. September 2022</w:t>
      </w:r>
    </w:p>
    <w:p>
      <w:r>
        <w:t>Bundesstrafgericht, 2022-09-28, DE</w:t>
      </w:r>
    </w:p>
    <w:p>
      <w:r>
        <w:rPr>
          <w:b/>
        </w:rPr>
        <w:t xml:space="preserve">Quelle: </w:t>
      </w:r>
      <w:r>
        <w:t>https://mcp.opencaselaw.ch/entscheid/bstger_RR.2021.290</w:t>
      </w:r>
    </w:p>
    <w:p>
      <w:r>
        <w:t>FR: TPF RR.2021.290 du 28 septembre 2022</w:t>
      </w:r>
    </w:p>
    <w:p>
      <w:r>
        <w:t>IT: TPF RR.2021.290 del 28 settembre 2022</w:t>
      </w:r>
    </w:p>
    <w:p>
      <w:pPr>
        <w:pStyle w:val="Heading2"/>
      </w:pPr>
      <w:r>
        <w:t>Regeste</w:t>
      </w:r>
    </w:p>
    <w:p>
      <w:r>
        <w:t>Internationale Rechtshilfe in Strafsachen an Deutschland; Entsiegelung (Art. 9 IRSG i.V.m. Art. 248 StPO)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Juli 2012; vgl. zuletzt u.a. Beschluss des Bundesstrafgerichts RR.2020.195 vom 22. September 2020 E. 1);</w:t>
      </w:r>
    </w:p>
    <w:p>
      <w:r>
        <w:t>- mit dem Rückzug der gegen die Durchsuchung gerichteten Einsprachen das vorliegende Verfahren als gegenstandslos abzuschreiben ist (statt vieler: Be- schluss des Bundesstrafgerichts BE.2018.18 vom 23. Januar 2019);</w:t>
      </w:r>
    </w:p>
    <w:p>
      <w:r>
        <w:t>- unter den vorliegenden Umständen keine Gerichtskosten zu erheben sind (vgl. Art. 66 Abs. 2 BGG analog [vgl. hierzu TPF 2011 25 E. 3]);</w:t>
      </w:r>
    </w:p>
    <w:p>
      <w:r>
        <w:t>- dem in seinem amtlichen Wirkungskreis handelnden Gesuchsteller keine Parteientschädigung zuzusprechen ist (Art. 68 Abs. 3 BGG analog);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