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RR.2021.279 vom 13. Januar 2022</w:t>
      </w:r>
    </w:p>
    <w:p>
      <w:r>
        <w:t>Bundesstrafgericht, 2022-01-13, FR</w:t>
      </w:r>
    </w:p>
    <w:p>
      <w:r>
        <w:rPr>
          <w:b/>
        </w:rPr>
        <w:t xml:space="preserve">Quelle: </w:t>
      </w:r>
      <w:r>
        <w:t>https://mcp.opencaselaw.ch/entscheid/bstger_RR.2021.279</w:t>
      </w:r>
    </w:p>
    <w:p>
      <w:r>
        <w:t>FR: TPF RR.2021.279 du 13 janvier 2022</w:t>
      </w:r>
    </w:p>
    <w:p>
      <w:r>
        <w:t>IT: TPF RR.2021.279 del 13 gennaio 2022</w:t>
      </w:r>
    </w:p>
    <w:p>
      <w:pPr>
        <w:pStyle w:val="Heading2"/>
      </w:pPr>
      <w:r>
        <w:t>Regeste</w:t>
      </w:r>
    </w:p>
    <w:p>
      <w:r>
        <w:t>Entraide judiciaire internationale en matière pénale à la France Remise de moyens de preuve (art. 74 EIMP)</w:t>
      </w:r>
    </w:p>
    <w:p>
      <w:pPr>
        <w:pStyle w:val="Heading2"/>
      </w:pPr>
      <w:r>
        <w:t>Erwägungen</w:t>
      </w:r>
    </w:p>
    <w:p>
      <w:r>
        <w:rPr>
          <w:b/>
        </w:rPr>
        <w:t>E. 20</w:t>
      </w:r>
    </w:p>
    <w:p>
      <w:r>
        <w:t>mars 1967 et pour la France le 21 août 1967, ainsi que par l'Accord</w:t>
      </w:r>
    </w:p>
    <w:p>
      <w:r>
        <w:t>- 3 -</w:t>
      </w:r>
    </w:p>
    <w:p>
      <w:r>
        <w:t>bilatéral complétant cette Convention (RS 0.351.934.92), conclu le 28 octobre 1996 et entré en vigueur le 1er mai 2000. Les art. 48 ss de la Convention d'application de l'Accord de Schengen du 14 juin 1985 (CAAS; n° CELEX 42000A0922[02]; Journal officiel de l'Union européenne L 239 du</w:t>
      </w:r>
    </w:p>
    <w:p>
      <w:r>
        <w:rPr>
          <w:b/>
        </w:rPr>
        <w:t>E. 22</w:t>
      </w:r>
    </w:p>
    <w:p>
      <w:r>
        <w:t>septembre 2000, p. 19-62) s'appliquent également à l'entraide pénale entre la Suisse et la France (v.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t> en vertu de l'art. 37 al. 2 let. a de la loi fédérale du 19 mars 2010 sur l'organisation des autorités pénales de la Confédération (LOAP; RS 173.71), mis en relation avec les art. 25 al. 1 et 80e al. 1 EIMP et 19 du règlement du 31 août 2010 sur l'organisation du Tribunal pénal fédéral (ROTPF; RS 173.713.161), la Cour de céans est compétente pour connaître des recours dirigés contre les décisions de clôture de la procédure d'entraide rendues par l'autorité cantonale ou fédérale d'exécution et, conjointement, contre les décisions incidentes;</w:t>
      </w:r>
    </w:p>
    <w:p>
      <w:r>
        <w:t> 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l'État requérant d'informations relatives à ce compte (ATF 137 IV 134 consid. 5;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de compte</w:t>
      </w:r>
    </w:p>
    <w:p>
      <w:r>
        <w:t>- 4 -</w:t>
      </w:r>
    </w:p>
    <w:p>
      <w:r>
        <w:t>lorsque celle-ci a été dissoute et liquidée, sous réserve de l'abus de droit (ATF 139 II 404 consid. 2.1.1; 137 IV 134 consid. 5.2.1; arrêt du Tribunal fédéral 1C_401/2021 du 28 juillet 2021 consid. 2.3); il appartient dans ce cas à l'ayant droit de former le recours en son nom propre et de prouver, outre la dissolution, sa qualité d'ayant droit économique, en produisant les documents idoines en faveur de cette thèse (ATF 123 II 153 consid. 2c et 2d; arrêts du Tribunal fédéral 1C_122/2011 du 23 mai 2011 consid. 2; 1A.268/2006 du 16 février 2007 consid. 2.3; arrêts du Tribunal pénal fédéral RR.2019.73 du 21 octobre 2019 consid. 4.2; RR.2017.292-293 du 27 avril 2018 consid. 2.1.2 et les réf. citées; RR.2015.14 du 11 février 2015 et les réf. citées; ZIMMERMANN, La coopération judiciaire internationale en matière pénale, 5e éd. 2019, n. 529 et les réf. citées); le fait que la société liquidée l'ait été en faveur de l'ayant droit économique est essentiel pour juger de la recevabilité du recours (arrêt du Tribunal fédéral 1C_440/2011 du 17 octobre 2011 consid. 1.5); la qualité pour recourir ne sera reconnue audit ayant droit que si l'acte de dissolution indique clairement ce dernier comme étant le bénéficiaire de la société dissoute (arrêts du Tribunal fédéral 1C_162/2018 du 29 mai 2018 consid. 2.1.1 et 2.2; 1B_466/2017 du 27 mars 2018 consid. 3.1 et 3.2; 1C_183/2012 du 12 avril 2012 consid. 1.4; 1C_161/2011 du 11 avril 2011 consid. 1.3.1 et les réf. citées); la preuve peut toutefois également être apportée par le biais d'autres moyens, il est alors nécessaire que la documentation produite dans ce cadre désigne clairement le titulaire du compte comme détenteur des biens de la société dissoute (arrêt du Tribunal fédéral 1C_401/2021 du 28 juillet 2021 consid. 2.3 et les réf. citées; arrêts du Tribunal pénal fédéral RR.20121.80-81 du 16 juin 2021 et les réf. citées);</w:t>
      </w:r>
    </w:p>
    <w:p>
      <w:r>
        <w:t> en l’espèce, les recourants allèguent en substance que la société E. Limited a été dissoute le 1er novembre 2019 et que A. Limited était à cette date l’actionnaire de cette dernière de sorte qu’elle dispose de la qualité pour recourir, à l’instar de B., qui est l’ayant droit économique de la société recourante (act. 1.7 et 5.3); à l’appui de ce qui précède, les recourants ont notamment produit un document du Registry of Corporate Affairs des Îles Vierges britanniques du 11 novembre 2020 indiquant que E. Limited a été « struck off the register » le 1er novembre 2019, le Certificate of Incumbency de A. Limited daté du 8 mars 2017 ainsi que le « share certificate » du 17 février 2017, attestant que cette dernière société détient les 50'000 actions de E. Limited (ibidem);</w:t>
      </w:r>
    </w:p>
    <w:p>
      <w:r>
        <w:t> conformément à la jurisprudence précitée et à la lecture des pièces fournies par les recourants, la Cour de céans constate l’absence d’éléments permettant d’établir qu’ils aient été les bénéficiaires des avoirs de la société dissoute;</w:t>
      </w:r>
    </w:p>
    <w:p>
      <w:r>
        <w:t>- 5 -</w:t>
      </w:r>
    </w:p>
    <w:p>
      <w:r>
        <w:t> ayant failli à apporter les informations requises par la jurisprudence, il s'ensuit que les recourants ne disposent pas de la qualité pour agir;</w:t>
      </w:r>
    </w:p>
    <w:p>
      <w:r>
        <w:t> le recours doit, partant, être déclaré irrecevable;</w:t>
      </w:r>
    </w:p>
    <w:p>
      <w:r>
        <w:t> au vu de la conclusion qui précède et en application de l'art. 57 al. 1 de la loi fédérale du 20 décembre 1968 sur la procédure administrative (PA; RS 172.021), la Cour de céans a renoncé à procéder à un échange d'écritures;</w:t>
      </w:r>
    </w:p>
    <w:p>
      <w:r>
        <w:t> les frais de procédure sont mis à la charge de la partie qui succombe (art. 63 al. 1 PA, applicable par renvoi de l'art. 39 al. 2 let. b LOAP); la partie dont le recours est déclaré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aux recourants de supporter de manière solidaire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déjà versée, étant précisé que le solde par CHF 3'000.-- leur sera restitué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