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RR.2021.276 vom 25. April 2022</w:t>
      </w:r>
    </w:p>
    <w:p>
      <w:r>
        <w:t>Bundesstrafgericht, 2022-04-25, FR</w:t>
      </w:r>
    </w:p>
    <w:p>
      <w:r>
        <w:rPr>
          <w:b/>
        </w:rPr>
        <w:t xml:space="preserve">Quelle: </w:t>
      </w:r>
      <w:r>
        <w:t>https://mcp.opencaselaw.ch/entscheid/bstger_RR.2021.276</w:t>
      </w:r>
    </w:p>
    <w:p>
      <w:r>
        <w:t>FR: TPF RR.2021.276 du 25 avril 2022</w:t>
      </w:r>
    </w:p>
    <w:p>
      <w:r>
        <w:t>IT: TPF RR.2021.276 del 25 aprile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en outre à l'entraide pénale entre ces deux Etats, les art. 48 ss de la Convention d'application de l'Accord de Schengen du 14 juin 1985 (CAAS; n° CELEX 42000A0922[02]; Journal officiel de l'Union européenne L 239 du 22 septembre 2000, p. 19-62; v. arrêt du Tribunal pénal fédéral RR.2008.98</w:t>
      </w:r>
    </w:p>
    <w:p>
      <w:r>
        <w:t>- 4 -</w:t>
      </w:r>
    </w:p>
    <w:p>
      <w:r>
        <w:t>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 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Interjetés dans le délai légal de 30 jours (art. 80k EIMP) par les sociétés titulaires des relations bancaires en cause, disposant partant de la qualité pour recourir, (art. 80h let. b EIMP et 9a let. a OEIMP), les recours interjetés le 29 novembre 2021 sont recevables. Il y a, partant,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w:t>
      </w:r>
    </w:p>
    <w:p>
      <w:r>
        <w:t>- 5 -</w:t>
      </w:r>
    </w:p>
    <w:p>
      <w:r>
        <w:t>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w:t>
      </w:r>
    </w:p>
    <w:p>
      <w:r>
        <w:rPr>
          <w:b/>
        </w:rPr>
        <w:t>E. 2.2</w:t>
      </w:r>
    </w:p>
    <w:p>
      <w:r>
        <w:t>En l'espèce, les trois recours sont interjetés à l'encontre de décisions de clôture dont l’argumentation est en tout point similaire et reposent sur le même complexe de faits. En outre, les parties recourantes, représentées par le même avocat, invoquent des arguments, respectivement, prennent des conclusions identiques, sans faire valoir d'intérêts contradictoires qui commanderaient un prononcé séparé.</w:t>
      </w:r>
    </w:p>
    <w:p>
      <w:r>
        <w:rPr>
          <w:b/>
        </w:rPr>
        <w:t>E. 2.3</w:t>
      </w:r>
    </w:p>
    <w:p>
      <w:r>
        <w:t>Il se justifie par conséquent de joindre les causes RR.2021.276, RR.2021.277 et RR.2021.278.</w:t>
      </w:r>
    </w:p>
    <w:p>
      <w:r>
        <w:rPr>
          <w:b/>
        </w:rPr>
        <w:t>E. 3</w:t>
      </w:r>
    </w:p>
    <w:p>
      <w:r>
        <w:t>Dans un unique moyen, les recourantes invoquent une violation du principe de la proportionnalité. Tout en soulignant que les mesures visant la documentation bancaire relative à leurs comptes ouverts auprès de la banque F. s’apparentent à une recherche indéterminée de moyens de preuve (« fishing expedition »), elles argumentent en substance que les paiements litigieux donnant lieu à l’enquête française n’auraient aucun lien avec leurs comptes, de sorte que la documentation concernée serait impropre à faire progresser l’enquête étrangère. Elles précisent à ce propos que G. n’était plus l’ayant droit économique du compte détenu par la société E. SA auprès de la banque F. au moment des faits sous enquête, ni l’actionnaire de ladite société, que leurs comptes bancaires ont été exclusivement utilisés aux fins de gestion des actifs immobiliers respectifs et que les mouvements desdits comptes n’ont aucun lien avec les faits exposés par l’autorité requérante, en particulier s’agissant des payements litigieux (RR.2021.276, RR.2021.277 et RR.2021.278, act. 1, p. 7-9).</w:t>
      </w:r>
    </w:p>
    <w:p>
      <w:r>
        <w:rPr>
          <w:b/>
        </w:rPr>
        <w:t>E. 3.1.1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 du Tribunal fédéral 1C_582/2015 du 10 novembre 2015 consid. 1.4). Le principe de la proportionnalité interdit à l'autorité suisse d'aller au-delà des requêtes qui lui</w:t>
      </w:r>
    </w:p>
    <w:p>
      <w:r>
        <w:t>- 6 -</w:t>
      </w:r>
    </w:p>
    <w:p>
      <w:r>
        <w:t>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3.1.2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La coopération judiciaire internationale en matière pénale, 5e éd. 2019, n. 723, p. 798 ss).</w:t>
      </w:r>
    </w:p>
    <w:p>
      <w:r>
        <w:t>- 7 -</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3.1.4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3.2</w:t>
      </w:r>
    </w:p>
    <w:p>
      <w:r>
        <w:t>En l’espèce, les autorités françaises enquêtent sur des actes qui, transposés en droit suisse, correspondent prima facie, notamment, aux infractions d’abus de confiance (art. 138 CP), de gestion déloyale (art. 158 CP), de blanchiment d’argent (art. 305bis CP) et de corruption active ou passive (art. 322ter et 322quater CP). Il ressort en effet de la commission rogatoire française que des mouvements atypiques auraient été constatés, pour la période allant du deuxième semestre 2014 au mois d’avril 2015, sur les comptes bancaires appartenant à des structures gérées ou animées par D., ancien conseiller municipal, conseiller communautaire et député français au parlement européen, et/ou son épouse. En particulier, ce dernier est notamment soupçonné d’avoir utilisé à des fins personnelles des fonds appartenant auxdites structures, parmi lesquelles l’association H., dont il est le dirigeant, et d’avoir perçu des rémunérations occultes à travers celles-ci. Les enquêteurs français ont notamment mis en évidence que les comptes de l’association précitée seraient abondés par la société I. Ltd, laquelle serait</w:t>
      </w:r>
    </w:p>
    <w:p>
      <w:r>
        <w:t>- 8 -</w:t>
      </w:r>
    </w:p>
    <w:p>
      <w:r>
        <w:t>contrôlée par J. et K., qui œuvreraient en tant que prête-noms, et dont G. serait la représentante, ainsi que – et surtout – par la société panaméenne E. SA. Les transferts de fonds suspects auraient été effectués par le biais du compte bancaire suisse ouvert au nom de cette dernière auprès de la banque F. (dossier MP-GE, Demande d’entraide pénale internationale de la Cour d’Appel de Paris).</w:t>
      </w:r>
    </w:p>
    <w:p>
      <w:r>
        <w:t>A cet égard, les autorités étrangères ont expressément requis la transmission des informations relatives au compte ouvert au nom de E. SA auprès de la banque F. ainsi qu’à toutes relations bancaires dont serait également titulaire le bénéficiaire économique final dudit compte. A la lecture de la documentation bancaire en question, il apparaît que G. était l’ayant droit économique et fondé de procuration dudit compte (dossier MP-GE, 13846 E. SA, Documents d’ouverture de compte) ainsi que des comptes n°1, 2 et 3 ouverts, respectivement, aux noms de SCI B., SCI C. et SCI A. (v. not. dossier MP-GE, courrier de la banque F. du 8 juin 2020).</w:t>
      </w:r>
    </w:p>
    <w:p>
      <w:r>
        <w:t>De toute évidence, indépendamment de la question du statut de G. et des recourantes dans le cadre de la procédure française (v. supra, consid. 3.1.4), les documents bancaires relatifs aux comptes de ces dernières sont susceptibles d’identifier l’origine et la destination des fonds litigieux et de confirmer ou infirmer des éléments révélés par l’enquête française. Bien que les relations bancaires concernées ne soient pas expressément mentionnées par l’autorité requérante dans sa demande d’entraide, cela ne suffit pas à retenir, comme le soutient les recourantes, le caractère disproportionné (« fishing expedition ») de la transmission d’informations envisagée. Il sied de rappeler à ce propos que lorsque la demande vise à éclaircir le cheminement de fonds d’origine délictueuse – comme c’est le cas en l’espèce – il se justifie en principe d’informer l’Etat requérant de toutes les transactions opérées au nom des personnes – physiques ou morales – concernées (v. supra, consid. 3.1.3). La transmission d’une documentation aussi complète que possible, comprenant également les informations relatives aux relations d'affaires liées aux recourantes, permet au demeurant d'éviter une éventuelle demande d'entraide complémentaire, étant rappelé qu'il ne s'agit pas uniquement d'aider l'Etat requérant à prouver des faits qu'il a déjà découverts, mais également d'en dévoiler d'autres, s'ils existent (v. supra, consid. 3.1.2). Par ailleurs, bien que l'on ne puisse exclure que les comptes bancaires en question n'aient pas servi aux transferts litigieux ou à blanchir des fonds, l'autorité requérante n'en dispose pas moins d'un intérêt à pouvoir le vérifier elle-même, sur le vu d'une documentation complète, puisque, comme développé supra, l'entraide vise non seulement à recueillir des preuves à charge mais également à décharge (v. supra, consid. 3.1.1 in fine). Enfin, l’argumentation selon laquelle l’ayant droit économique et fondé</w:t>
      </w:r>
    </w:p>
    <w:p>
      <w:r>
        <w:t>- 9 -</w:t>
      </w:r>
    </w:p>
    <w:p>
      <w:r>
        <w:t>de procuration de leurs comptes bancaires, à savoir G., n’aurait plus été l’ayant droit économique du compte de E. SA dès janvier 2014 n’est pas relevant dès lors que comme soulevé dans le cadre des développements jurisprudentiels précités, il est conforme au principe de l’« utilité potentielle » d'investiguer en amont et en aval du complexe de faits décrit dans la demande et de remettre des documents antérieurs ou postérieurs à l'époque des faits indiqués (v. supra, consid. 3.1.2 et 3.1.3). C’est ainsi que, dans le but d’éclaircir le cheminement des fonds litigieux, l’autorité requérante a requis la transmission d’informations bancaires couvrant une large période, à savoir du 1er janvier 2013 à mars 2020 (v. dossier MP-GE, Demande d’entraide pénale internationale de la Cour d’Appel de Paris, p. 10).</w:t>
      </w:r>
    </w:p>
    <w:p>
      <w:r>
        <w:t>Force est par conséquent de retenir qu'il existe en l'espèce un lien de connexité suffisant entre les faits poursuivis par l'Etat requérant et les comptes bancaires ouverts aux noms des recourantes auprès de la banque F. et que dès lors les documents y relatifs sont propres à faire avancer l'enquête française.</w:t>
      </w:r>
    </w:p>
    <w:p>
      <w:r>
        <w:rPr>
          <w:b/>
        </w:rPr>
        <w:t>E. 3.3</w:t>
      </w:r>
    </w:p>
    <w:p>
      <w:r>
        <w:t>Au vu de ce qui précède, le grief tiré de la violation du principe de la proportionnalité, respectivement de celui de l'utilité potentielle, se révèle mal fondé et doit, partant, être rejeté.</w:t>
      </w:r>
    </w:p>
    <w:p>
      <w:r>
        <w:t>Il s'ensuit que la remise à l'Etat requérant de la documentation bancaire relative aux comptes n°1, 2 et 3 ouverts, respectivement, aux noms de SCI B., SCI C. et SCI A. auprès de la banque F. est conforme au droit.</w:t>
      </w:r>
    </w:p>
    <w:p>
      <w:r>
        <w:rPr>
          <w:b/>
        </w:rPr>
        <w:t>E. 4</w:t>
      </w:r>
    </w:p>
    <w:p>
      <w:r>
        <w:t>Les considérations développées dans le cadre du présent arrêt conduisent au rejet des recours.</w:t>
      </w:r>
    </w:p>
    <w:p>
      <w:r>
        <w:rPr>
          <w:b/>
        </w:rPr>
        <w:t>E. 5.1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5.2</w:t>
      </w:r>
    </w:p>
    <w:p>
      <w:r>
        <w:t>En tant que parties qui succombent à la présente procédure, les recourantes supporteront de manière solidaire les frais du présent arrêt, ascendant à CHF 10'000.-- (v. art. 73 al. 2 LOAP et art. 8 al. 3 du règlement du 31 août 2010 du Tribunal pénal fédéral sur les frais, émoluments, dépens, et</w:t>
      </w:r>
    </w:p>
    <w:p>
      <w:r>
        <w:t>- 10 -</w:t>
      </w:r>
    </w:p>
    <w:p>
      <w:r>
        <w:t>indemnités de la procédure pénale fédérale du 31 août 2010 [RFPPF; RS 173.713.162] et art. 63 al. 5 PA), lesquels sont entièrement couverts par les avances de frais déjà acquittées. La caisse du Tribunal pénal fédéral restituera aux recourantes le solde par CHF 5'000.--.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