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RR.2021.266 vom 29. Dezember 2022</w:t>
      </w:r>
    </w:p>
    <w:p>
      <w:r>
        <w:t>Bundesstrafgericht, 2022-12-29, DE</w:t>
      </w:r>
    </w:p>
    <w:p>
      <w:r>
        <w:rPr>
          <w:b/>
        </w:rPr>
        <w:t xml:space="preserve">Quelle: </w:t>
      </w:r>
      <w:r>
        <w:t>https://mcp.opencaselaw.ch/entscheid/bstger_RR.2021.266</w:t>
      </w:r>
    </w:p>
    <w:p>
      <w:r>
        <w:t>FR: TPF RR.2021.266 du 29 décembre 2022</w:t>
      </w:r>
    </w:p>
    <w:p>
      <w:r>
        <w:t>IT: TPF RR.2021.266 del 29 dicembre 2022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 zur Anwendung (TPF 2009 111 E. 1.2). Günstigere Bestimmungen bilateraler oder multilateraler Über- einkünfte zwischen den Vertragsparteien bleiben unberührt (Art. 48 Abs. 2 SDÜ; Art. 26 Abs. 2 und 3 EUeR).</w:t>
      </w:r>
    </w:p>
    <w:p>
      <w:r>
        <w:t>- 5 -</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Die entsprechende Beschwerdefrist beträgt 30 Tage (Art. 80k IRSG).</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Im Falle von Haus- durchsuchungen gilt der jeweilige Eigentümer oder Mieter als persönlich und direkt betroffen im Sinne des Art. 80h lit. b IRSG i.V.m. Art. 9a lit. b IRSV. Die Eigentümer- und Mieterstellung bezieht sich dabei auf die durchsuchten Räumlichkeiten (BGE 137 IV 134 E. 6.2). Werden anlässlich der Hausdurch- suchung sichergestellte Gegenstände beschlagnahmt und in der Folge de- ren rechtshilfeweise Herausgabe angeordnet, ist zur Beschwerde gegen die angeordnete Übermittlung dieser Gegenstände diejenige Person legitimiert, welche sich der Hausdurchsuchung und damit der Zwangsmassnahme un- terziehen musste. Massgeblich ist die tatsächliche Verfügungsgewalt im</w:t>
      </w:r>
    </w:p>
    <w:p>
      <w:r>
        <w:t>- 6 -</w:t>
      </w:r>
    </w:p>
    <w:p>
      <w:r>
        <w:t>Zeitpunkt einer Beschlagnahme (vgl. zum Ganzen TPF 2014 113 E. 3.2.2 m.w.H.).</w:t>
      </w:r>
    </w:p>
    <w:p>
      <w:r>
        <w:rPr>
          <w:b/>
        </w:rPr>
        <w:t>E. 2.2</w:t>
      </w:r>
    </w:p>
    <w:p>
      <w:r>
        <w:t>Der Beschwerdeführer wendet sich mit seiner Beschwerde (nur) gegen die Herausgabe der CD «RHI 18 146 09», mithin gegen Dispositiv-Ziffer 2.1 der Schlussverfügung. Auf der herauszugebenden CD befinden sich Daten, die anlässlich der Hausdurchsuchung sichergestellt worden sind. Der Beschwer- deführer ist als Mieter der von der Hausdurchsuchung betroffenen Räumlich- keiten zur Erhebung der vorliegenden Beschwerde berechtigt. Auf die im Üb- rigen form- und fristgerecht erhobene Beschwerde ist damit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Der Beschwerdeführer trägt vor, nach deutschem Recht erfahre die Unver- letzlichkeit der Wohnung einen besonderen grundrechtlichen Schutz. Eine richterliche Durchsuchungsanordnung verliere nach deutschem Recht nach Ablauf eines halben Jahres ihre rechtfertigende Kraft. Hätte die ersuchende Behörde die Durchsuchung in Deutschland gestützt auf die Durchsuchungs- anordnung des Amtsgerichts München vom 11. Mai 2018 vollziehen wollen, hätte sie bis zum 11. November 2018 handeln müssen. Danach hätte es einer erneuten richterlichen Anordnung für die Durchsuchung bedurft. Mit der Durchführung der Hausdurchsuchung am 11. Februar 2021 habe die Be- schwerdegegnerin der ersuchenden Behörde eine Zwangsmassnahme er- möglicht, die sie in Deutschland nicht hätte erwirken können, was Art. 76 lit. c IRSG verletze (act. 1 S. 3 ff.).</w:t>
      </w:r>
    </w:p>
    <w:p>
      <w:r>
        <w:rPr>
          <w:b/>
        </w:rPr>
        <w:t>E. 4.2</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 suchen eine Bestätigung beifügen muss, dass diese Massnahmen im ersu- chenden Staat zulässig sind. Gestützt auf das zwischen den Staaten gel- tende Vertrauensprinzip braucht eine Bestätigung allerdings nicht in jedem</w:t>
      </w:r>
    </w:p>
    <w:p>
      <w:r>
        <w:t>- 7 -</w:t>
      </w:r>
    </w:p>
    <w:p>
      <w:r>
        <w:t>Fall eingereicht zu werden, sondern nur dann, wenn starke Zweifel dafür be- stehen, dass die ersuchende Behörde nach dem ausländischen Recht eine entsprechende Massnahme tatsächlich anordnen dürfte (KUSTER, Basler Kommentar, 2015, N. 2 zu Art. 76 IRSG mit Hinweisen auf BGE 123 II 161 E. 3.b; 118 Ib 457 E. 5). Wie bereits festgehalten, ist vorliegend für die Rechtshilfe zwischen Deutschland und der Schweiz ohnehin in erster Linie das EUeR massgebend. Art. 14 EUeR schreibt vor, welche Angaben Rechts- hilfeersuchen enthalten müssen. Anders als Art. 76 lit. c IRSG, sieht Art. 14 EUeR eine Bescheinigung über die Zulässigkeit der Zwangsmassnahmen nach dem Recht des ersuchenden Staates gerade nicht vor, weshalb sich die Rüge des Beschwerdeführers von vornherein als unbegründet erweist.</w:t>
      </w:r>
    </w:p>
    <w:p>
      <w:r>
        <w:rPr>
          <w:b/>
        </w:rPr>
        <w:t>E. 5.1</w:t>
      </w:r>
    </w:p>
    <w:p>
      <w:r>
        <w:t>Der Beschwerdeführer bringt schliesslich vor, es sei «ernsthaft zu bezwei- feln», ob die herauszugebenden Daten für das deutsche Ermittlungsverfah- ren voraussichtlich erheblich seien. Ein Zusammenhang der besagten Un- terlagen mit dem im Rechtshilfeersuchen geschilderten Tatvorwurf sei nicht oder allerhöchstens am Rande erkennbar. Die besagten Daten würden über- wiegend aus den Jahren 2001 bis 2008 stammen, wohingegen der relevante Zeitraum die Jahre 2009 und 2010 betreffe. Ausserdem habe die ersu- chende Behörde in den Jahren 2009 und 2010 bereits die Wohn- und Ge- schäftsräume des Beschwerdeführers in München durchsuchen lassen, ohne Belege für eine Tatbeteiligung zu finden (act. 1 S. 6).</w:t>
      </w:r>
    </w:p>
    <w:p>
      <w:r>
        <w:rPr>
          <w:b/>
        </w:rPr>
        <w:t>E. 5.2</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Grundsätzlich muss die ersuchte Behörde aufzeigen, dass zwischen dem Gegenstand der Strafuntersuchung und den von der Rechtshilfe betroffenen Unterlagen eine ausreichende inhaltliche Konnexität, d.h. ein ausreichender Sachzusam- menhang, besteht (BGE 129 II 462 E. 5.1; Urteil des Bundesgerichts 1A.47/2007 vom 12. November 2007 E. 5.1; TPF 2008 44 E. 3.6). Sie kann dies nicht dem ersuchenden Staat überlassen, indem sie ihm die Gesamtheit der beschlagnahmten Dokumente übermittelt. Ein solches Vorgehen wäre unverhältnismässig (BGE 130 II 14 E. 4.3/4.4; TPF 2011 97 E. 5.1).</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w:t>
      </w:r>
    </w:p>
    <w:p>
      <w:r>
        <w:t>- 8 -</w:t>
      </w:r>
    </w:p>
    <w:p>
      <w:r>
        <w:t>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w:t>
      </w:r>
    </w:p>
    <w:p>
      <w:r>
        <w:rPr>
          <w:b/>
        </w:rPr>
        <w:t>E. 5.3</w:t>
      </w:r>
    </w:p>
    <w:p>
      <w:r>
        <w:t>Soweit der Berechtigte einer vereinfachten Übermittlung nicht zustimmt, nimmt er an der Ausscheidung der zu übermittelnden Unterlagen (Triage) teil, indem er innerhalb angesetzter Frist konkret darlegt, Dokument für Do- kument, welche einzelnen Aktenstücke (bzw. welche Passagen daraus) für die Strafuntersuchung offensichtlich entbehrlich seien, und diese Auffassung auch begründet (Entscheide des Bundesstrafgerichts RR.2018.269 vom 18. Februar 2019 E. 7.3; RR.2018.234 vom 31. Januar 2019 E. 3.4.2; RR.2015.107 + RR.2015.156 vom 15. Dezember 2015 E. 6.1; RR.2013.232 vom 5. Dezember 2013 E. 3.2). Es ist mit dem guten Glauben unvereinbar, die Behörde tatenlos gewähren zu lassen, um ihr im Nachhinein vorzuwer- fen, das Verhältnismässigkeitsprinzip verletzt zu haben (BGE 130 II 14 E. 4.3/4.4; 126 II 258 E. 9b/aa; Urteil des Bundesgerichts 1A.234/2005 vom 31. Januar 2006 E. 3.2). Kommt der Beschwerdeführer der Obliegenheit, schon im Stadium der Ausführung des Ersuchens an der Ausscheidung der sichergestellten Dokumente mitzuwirken, nicht nach, hat er im Beschwerde- verfahren sein Rügerecht verwirkt (Entscheide des Bundesstrafgerichts RR.2019.17 vom 2. Mai 2019 E. 4.3; RR.2018.136 vom 11. Oktober 2018 E. 4.3). Die Beschwerdeinstanz forscht nicht von sich aus nach Aktenstü- cken, die im ausländischen Verfahren (mit Sicherheit) nicht erheblich sein könnten (BGE 130 II 14 E. 4.3 S. 16; 126 II 258 E. 9b/aa S. 262; Urteile des Bundesgerichts 1A.223/2006 vom 2. April 2007 E. 4.1 sowie 1A.184/2004 vom 22. April 2005 E. 3.1).</w:t>
      </w:r>
    </w:p>
    <w:p>
      <w:r>
        <w:rPr>
          <w:b/>
        </w:rPr>
        <w:t>E. 5.4</w:t>
      </w:r>
    </w:p>
    <w:p>
      <w:r>
        <w:t>Die Beschwerdegegnerin hat dem Beschwerdeführer mit Schreiben vom 17. September 2021 eine CD mit den herauszugebenden Daten zugestellt hat und ihn aufgefordert, innert Frist diejenigen Daten zu bezeichnen, mit deren Herausgabe er i.S.v. Art. 80c IRSG einverstanden sein könnte (Ver- fahrensakten, Lasche 6, Urk. 20). Mit Schreiben vom 6. Oktober 2021 sandte der Beschwerdeführer die CD zurück und erklärte pauschal, der vereinfach- ten Herausgabe nicht zuzustimmen. Zur Erheblichkeit der Daten äusserte er sich nicht (Verfahrensakten, Lasche 6, Urk. 21). Damit hat er im</w:t>
      </w:r>
    </w:p>
    <w:p>
      <w:r>
        <w:t>- 9 -</w:t>
      </w:r>
    </w:p>
    <w:p>
      <w:r>
        <w:t>Beschwerdeverfahren sein Recht zur Rüge der mangelnden Relevanz der herauszugebenden Unterlagen verwirkt.</w:t>
      </w:r>
    </w:p>
    <w:p>
      <w:r>
        <w:rPr>
          <w:b/>
        </w:rPr>
        <w:t>E. 5.5</w:t>
      </w:r>
    </w:p>
    <w:p>
      <w:r>
        <w:t>Im Übrigen hat die Beschwerdegegnerin die potentielle Erheblichkeit der her- auszugebenden Unterlagen in ihrer Schlussverfügung hinreichend darge- legt. Sie hielt diesbezüglich fest, gemäss Rechtshilfeersuchen bestehe der Verdacht, der Beschwerdeführer habe sich einer Gruppe von teils ausländi- schen Personen angeschlossen, die sich zur fortgesetzten Begehung von Umsatzsteuerhinterziehungen im Bereich des Buntmetallhandels verabredet hätten. Die Buntmetallgeschäfte, die über mehrere zum Schein dazwischen- geschaltete Gesellschaften abgewickelt worden seien, seien nach der Funk- tionsweise eines Umsatzsteuerkettengeschäfts konzipiert worden. Die tat- sächlichen Vertragsparteien der einzelnen Buntmetallgeschäfte und die tat- sächlichen Lieferwege der Waren seien dabei von den hierfür geschaffenen Dokumenten abgewichen. An der Hausdurchsuchung vom 11. Februar 2021 seien drei Datenträger beschlagnahmt worden. Diese seien in der Folge ge- sichtet und von der Luzerner Polizei triagiert worden. Die Trage sei auf die im Hausdurchsuchungsbefehl der Oberstaatsanwaltschaft genannten acht Firmennamen beschränkt worden. Es seien einzig Dateien zu den (im Rechtshilfeersuchen genannten) Gesellschaften B. GmbH und C. GmbH ge- funden worden. Diese Daten seien von der Oberstaatsanwaltschaft auf de- ren mögliche Relevanz für das deutsche Verfahren geprüft, die unerhebli- chen Dateien herausgefiltert und der verbliebende Rest auf eine CD geladen worden. Diese CD sei gemäss der Schlussverfügung herauszugeben (act. 1.2 S. 8).</w:t>
      </w:r>
    </w:p>
    <w:p>
      <w:r>
        <w:t>Gestützt auf diese Ausführungen sind die herauszugebenden Unterlagen als für das deutsche Ermittlungsverfahren potentiell erheblich zu erachten, wes- halb sich die vorgesehene Rechtshilfe als verhältnismässig erweist.</w:t>
      </w:r>
    </w:p>
    <w:p>
      <w:r>
        <w:rPr>
          <w:b/>
        </w:rPr>
        <w:t>E. 6</w:t>
      </w:r>
    </w:p>
    <w:p>
      <w:r>
        <w:t>Andere Rechtshilfehindernisse werden nicht genannt und sind auch nicht er- sichtlich. Der Herausgabe der in der Schlussverfügung genannten CD steht somit nichts entgegen. Die Beschwerde erweist sich als unbegründet und ist daher umfassend abzuweisen.</w:t>
      </w:r>
    </w:p>
    <w:p>
      <w:r>
        <w:rPr>
          <w:b/>
        </w:rPr>
        <w:t>E. 7</w:t>
      </w:r>
    </w:p>
    <w:p>
      <w:r>
        <w:t>Bei diesem Ausgang des Verfahrens sind die Gerichtskosten dem Be- schwerdeführer aufzuerlegen (Art. 63 Abs. 1 VwVG). Die Gerichtsgebühr ist auf Fr. 5'000.– festzusetzen (vgl. Art. 63 Abs. 5 VwVG i.V.m. Art. 73 StBOG sowie Art. 5 und 8 Abs. 3 lit. a BStKR), unter Anrechnung des geleisteten Kostenvorschusses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