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RR.2021.26 vom 3. März 2021</w:t>
      </w:r>
    </w:p>
    <w:p>
      <w:r>
        <w:t>Bundesstrafgericht, 2021-03-03, DE</w:t>
      </w:r>
    </w:p>
    <w:p>
      <w:r>
        <w:rPr>
          <w:b/>
        </w:rPr>
        <w:t xml:space="preserve">Quelle: </w:t>
      </w:r>
      <w:r>
        <w:t>https://mcp.opencaselaw.ch/entscheid/bstger_RR.2021.26</w:t>
      </w:r>
    </w:p>
    <w:p>
      <w:r>
        <w:t>FR: TPF RR.2021.26 du 3 mars 2021</w:t>
      </w:r>
    </w:p>
    <w:p>
      <w:r>
        <w:t>IT: TPF RR.2021.26 del 3 marzo 2021</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massgebend das Europäische Auslieferungsübereinkommen vom 13. Dezember 1957 (EAUe; SR 0.353.1), die hierzu ergangenen Zusatzpro- tokolle vom 17. März 1978 (ZP 2 EAUe; SR 0.353.12) und 10. November 2010 (ZP 3 EAUe; SR 0.353.13) sowie der Vertrag vom 13. November 1969</w:t>
      </w:r>
    </w:p>
    <w:p>
      <w:r>
        <w:t>- 5 -</w:t>
      </w:r>
    </w:p>
    <w:p>
      <w:r>
        <w:t>zwischen der Schweizerischen Eidgenossenschaft und der Bundesrepublik Deutschland über die Ergänzung des EAUe und die Erleichterung seiner An- wendung (ZV EAUe; SR 0.353.913.61).</w:t>
      </w:r>
    </w:p>
    <w:p>
      <w:r>
        <w:rPr>
          <w:b/>
        </w:rPr>
        <w:t>E. 1.2</w:t>
      </w:r>
    </w:p>
    <w:p>
      <w:r>
        <w:t>Die Schweiz wendet zudem an, aufgrund des einschlägigen bilateralen Ab- kommens vom 26. Oktober 2004 zwischen der Schweiz und der EU (Schen- gener Assoziierungsabkommen; SR 0.362.31; SSA): die Bestimmungen des Schengen-Besitzstands vor der Vergemeinschaftung (SSA Anhang A), die Weiterentwicklung seit dessen Überführung in den Rahmen der EU (SSA Anhang B) sowie die Weiterentwicklungen seit Unterzeichnung des SSA (Art. 1 und 2 SSA, vgl. auch die Schlussakte; GOOD, Die Schengen-Assozi- ierung der Schweiz, 2010, S. 49 f., 75 ff.). Die Anhänge und Weiterentwick- lungen sind nicht in der SR enthalten, sondern publiziert auf www.ad- min.ch/opc/de/european-union/international-agreements/008.html «Rechts- sammlung zu den sektoriellen Abkommen» (nachfolgend «Rechtssamm- lung»). Für Auslieferungen sind insbesondere relevant: • die Art. 59 ff. des Schengener Durchführungsübereinkommens vom 14. Juni 1985 (SDÜ; CELEX-Nr. 42000A0922(02); ABl. L 239 vom 22. September 2000, S. 19–62; Rechtssammlung Punkt 8.1 Anhang A); • die Art. 26–31 des Beschlusses des Rates 2007/533/JI vom 12. Juni 2007 über die Einrichtung, den Betrieb und die Nutzung des Schengener Informationssystems der zweiten Generation (SIS II; CELEX- Nr. 32007D0533; ABl. L 205 vom 7. August 2007, S. 63–84; Rechts- sammlung Punkt 8.4 «Weiterentwicklungen des Schengen-Besitz- stands»); • die Art. 2, 6, 8, 9 und 13 sowie Art. 1 (soweit er für die anderen Artikel relevant ist) des Übereinkommens vom 27. September 1996 über die Auslieferung zwischen den Mitgliedstaaten der Europäischen Union (EU-Auslieferungsübereinkommen; CELEX-Nr. 41996A1023(02); ABl. C 313 vom 23. Oktober 1996, S. 12–23; Rechtssammlung Punkt 8.2 Anhang B). Dies, da der Beschluss des Rates 2003/169/JI vom 27. Februar 2003 (CELEX-Nr. 32003D0169; ABl. L 67 vom 12. März 2003, S. 25 f.; Rechtssammlung Punkt 8.2 Anhang B) sie in den Art. 1 und 2 insoweit als Weiterentwicklung des Schengen-Besitz- stands bezeichnet.</w:t>
      </w:r>
    </w:p>
    <w:p>
      <w:r>
        <w:rPr>
          <w:b/>
        </w:rPr>
        <w:t>E. 1.3</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w:t>
      </w:r>
    </w:p>
    <w:p>
      <w:r>
        <w:t>- 6 -</w:t>
      </w:r>
    </w:p>
    <w:p>
      <w:r>
        <w:t>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La coopération judiciaire internationale en matière pénale, 5. Aufl. 2019, N. 229). Vorbehalten bleibt die Wahrung der Menschenrechte (BGE 139 II 65 E. 5.4 letzter Absatz; 135 IV 212 E. 2.3; 123 II 595 E. 7c; ZIMMERMANN, a.a.O., N. 211 ff., 223 ff., 681 ff.).</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Auf Beschwerdeverfahren in internationalen Rechtshilfeange- legenheiten sind die Bestimmungen des Bundesgesetzes vom 20. Dezem- ber 1968 über das Verwaltungsverfahren (Verwaltungsverfahrensgesetz, VwVG; SR 172.021) anwendbar (Art. 39 Abs. 2 lit. b StBOG; BGE 139 II 404 E. 8.2; ZIMMERMANN, a.a.O., N. 273).</w:t>
      </w:r>
    </w:p>
    <w:p>
      <w:r>
        <w:rPr>
          <w:b/>
        </w:rPr>
        <w:t>E. 2.2</w:t>
      </w:r>
    </w:p>
    <w:p>
      <w:r>
        <w:t>Als Verfolgter (vgl. Art. 11 Abs. 1 IRSG) ist der Beschwerdeführer zur Einrei- chung der vorliegenden Beschwerde legitimiert. Er ist im Beschwerdeverfah- ren nicht anwaltlich vertreten. Zu seinen Gunsten ist davon auszugehen, dass er die Beschwerde rechtzeitig mit Schreiben vom 20. Januar 2021 ans BJ und auch formgerecht erhoben hat. Auf die Beschwerde ist einzutreten.</w:t>
      </w:r>
    </w:p>
    <w:p>
      <w:r>
        <w:rPr>
          <w:b/>
        </w:rPr>
        <w:t>E. 3.1</w:t>
      </w:r>
    </w:p>
    <w:p>
      <w:r>
        <w:t>Im Auslieferungsverfahren brachte der Beschwerdeführer vor, dieselben Ta- ten, für die er in der Schweiz festgehalten werde, seien auch Gegenstand des Verfahrens in Deutschland (act. 5.4 Einvernahme S. 3). Er erklärt in der Beschwerde auch, er wolle «am Prozess» persönlich teilnehmen (act. 1).</w:t>
      </w:r>
    </w:p>
    <w:p>
      <w:r>
        <w:t>Rechtsanwalt C. brachte sodann für ihn vor, der Beschwerdeführer müsse in der Schweiz sein, um hier seine Strafe zu verbüssen. Er könne daher den deutschen Strafverfolgungsbehörden gar nicht dauerhaft zur Verfügung ge- stellt werden. Der Beschwerdeführer könne Deutschland vorläufig überstellt werden, so dies beantragt werde. Eine Auslieferung sei jedoch unverhältnis- mässig, da nicht erforderlich (act. 5.6 S. 4 Stellungnahme ans BJ). Nach</w:t>
      </w:r>
    </w:p>
    <w:p>
      <w:r>
        <w:t>- 7 -</w:t>
      </w:r>
    </w:p>
    <w:p>
      <w:r>
        <w:t>Art. 20 Abs. 1 EAUe gebe der ersuchte Staat Gegenstände nur heraus, so- weit es seine Rechtsvorschriften zuliessen. Dies sei vorliegend nicht der Fall: Die StPO verlange, dass Gegenstände zu versiegeln seien, das Zwangs- massnahmengericht ein Entsiegelungsverfahren durchführe und sie erst dann ausgewertet werden dürften. Er verlange daher vorsorglich deren Sie- gelung, insbesondere für das deutsche Strafverfahren. Sofern Mobiltelefone herausgegeben würden, sei dies mit der Bedingung zu verknüpfen, dass vor der Auswertung ein mit der StPO äquivalentes Entsiegelungsverfahren zu erfolgen habe (act. 5.6 S. 4 f.).</w:t>
      </w:r>
    </w:p>
    <w:p>
      <w:r>
        <w:rPr>
          <w:b/>
        </w:rPr>
        <w:t>E. 3.2</w:t>
      </w:r>
    </w:p>
    <w:p>
      <w:r>
        <w:t>Das BJ liess A. einvernehmen. Sein unentgeltlicher Rechtsbeistand konnte dem BJ eine Stellungnahme einreichen, wozu auch der von ihm gewünschte Rechtsanwalt Gelegenheit hatte. A. erhob Beschwerde. Das Beschwerde- verfahren ist grundsätzlich schriftlich (Art. 57 Abs. 1 VwVG i.V.m. Art. 12 Abs. 1 IRSG). Auch Art. 6 Abs. 1 EMRK verlangt vorliegend kein öffentliches Verfahren, keine Anhörung: Im Auslieferungsverfahren wird nicht über eine Anklage, über Schuld und Strafe, entschieden. Der sinngemässe Antrag auf eine öffentliche Verhandlung im Auslieferungsverfahren ist abzuweisen.</w:t>
      </w:r>
    </w:p>
    <w:p>
      <w:r>
        <w:rPr>
          <w:b/>
        </w:rPr>
        <w:t>E. 3.3</w:t>
      </w:r>
    </w:p>
    <w:p>
      <w:r>
        <w:t>Der Beschwerdeführer bringt weiter vor, er werde für die gleiche Sache in zwei Staaten verfolgt. Wer durch eine Vertragspartei rechtskräftig abgeurteilt worden ist, darf durch eine andere Vertragspartei wegen derselben Tat nicht verfolgt werden, vorausgesetzt, dass im Fall einer Verurteilung die Sanktion bereits vollstreckt worden ist, gerade vollstreckt wird oder nach dem Recht des Urteilsstaats nicht mehr vollstreckt werden kann (Art. 54 SDÜ). Es ist hier nicht ganz klar, ob der Beschwerdeführer sich auf seine Schweizer Verurteilung bezieht, für die er zurzeit in der Schweiz im Strafvollzug ist, oder auf das Schweizer Auslieferungsverfahren. Auszuliefern ist er ja für ein deut- sches Strafverfahren, weshalb der Verfahrensgegenstand insoweit zwangs- läufig und zulässigerweise der Gleiche ist: Im Auslieferungsverfahren selbst wird denn auch nicht über Schuld und Strafe entschieden. Bezüglich der Schweizer Verurteilung ist es sehr unwahrscheinlich, dass Deutschland ebenfalls ein Strafverfahren zu Sachverhalten in Schweizer Strafhoheit führt. Der Beschwerdeführer könnte jedenfalls Art. 54 SDÜ gegen eine drohende Doppelbestrafung in Deutschland anrufen. Seine Rüge im Auslieferungsver- fahren ist daher unbegründet.</w:t>
      </w:r>
    </w:p>
    <w:p>
      <w:r>
        <w:rPr>
          <w:b/>
        </w:rPr>
        <w:t>E. 3.4</w:t>
      </w:r>
    </w:p>
    <w:p>
      <w:r>
        <w:t>Im Auslieferungsverkehr wird die Verhältnismässigkeit wesentlich über die Definition der auslieferungsfähigen strafbaren Handlungen geprüft, insbe- sondere über die erforderliche abstrakte Strafdrohung. So verlangt Art. 2</w:t>
      </w:r>
    </w:p>
    <w:p>
      <w:r>
        <w:t>- 8 -</w:t>
      </w:r>
    </w:p>
    <w:p>
      <w:r>
        <w:t>EAUe «Handlungen, die sowohl nach dem Recht des ersuchenden als auch nach dem des ersuchten Staates mit einer Freiheitsstrafe […] im Höchst- mass von mindestens einem Jahr» bedroht sind. Vorliegend anwendbar ist die Auslieferungsvoraussetzung von Art. 2 Abs. 1 EU-Auslieferungsüberein- kommen. Dieses verlangt nach dem Recht des ersuchten Mitgliedstaats nur eine Freiheitsstrafe «im Höchstmass von mindestens sechs Monaten». Entgegen der Rüge des Beschwerdeführers ist eine Auslieferung vorliegend verhältnismässig. Gemäss dem internationalen Haftbefehl des Amtsgerichts Lörrach (in act. 5.1) ermittelt die Staatsanwaltschaft Freiburg gegen ihn we- gen Verdachts des schweren Bandendiebstahls, begangen mit zahlreichen Wohnungseinbrüchen. Art. 139 Ziff. 3 des Schweizer Strafgesetzbuches droht bei bandenmässigem Diebstahl eine Freiheitsstrafe von maximal zehn Jahren an. Das BJ weist sodann zurecht darauf hin (act. 5.7 S. 4 Ziff. 6.1), dass Art. 19 EAU genau auch den Fall eines Verfolgten im Strafvollzug re- gelt. In Frage kommt zum Beispiel, ihn nur vorübergehend an Deutschland zu übergeben. Es ist jedenfalls nicht so, dass der Beschwerdeführer zwi- schen einer Überstellung und einer Auslieferung auswählen konnte oder er einen Anspruch hätte, seine Strafe vorgängig oder vollständig in der Schweiz zu verbüssen. Damit geht die Rüge fehl.</w:t>
      </w:r>
    </w:p>
    <w:p>
      <w:r>
        <w:rPr>
          <w:b/>
        </w:rPr>
        <w:t>E. 3.5</w:t>
      </w:r>
    </w:p>
    <w:p>
      <w:r>
        <w:t>Das BJ stellt fest, dass in den Effektenverzeichnissen der kantonalen Behör- den keine Mobiltelefone des Beschwerdeführers erfasst sind (act. 5.7 S. 4 Ziff. 6.2). Gibt es keine solchen, sind die Vorbringen für eine Siegelung und gegen eine Herausgabe von Mobiltelefonen gegenstandslos.</w:t>
      </w:r>
    </w:p>
    <w:p>
      <w:r>
        <w:rPr>
          <w:b/>
        </w:rPr>
        <w:t>E. 3.6</w:t>
      </w:r>
    </w:p>
    <w:p>
      <w:r>
        <w:t>Die weiteren Auslieferungsvoraussetzungen, insbesondere die beidseitige Strafbarkeit, sind unbestritten und gegeben.</w:t>
      </w:r>
    </w:p>
    <w:p>
      <w:r>
        <w:rPr>
          <w:b/>
        </w:rPr>
        <w:t>E. 4</w:t>
      </w:r>
    </w:p>
    <w:p>
      <w:r>
        <w:t>Die Beschwerde erweist sich nach dem Gesagten als unbegründet und ist abzuweisen, soweit sie nicht gegenstandslos ist.</w:t>
      </w:r>
    </w:p>
    <w:p>
      <w:r>
        <w:rPr>
          <w:b/>
        </w:rPr>
        <w:t>E. 5</w:t>
      </w:r>
    </w:p>
    <w:p>
      <w:r>
        <w:t>Bei diesem Ausgang des Verfahrens sind die Gerichtskosten dem Be- schwerdeführer aufzuerlegen (vgl. Art. 63 Abs. 1 VwVG). Die Gerichtsgebühr ist angesichts seiner Vermögensverhältnisse auf Fr. 500.-- festzusetzen (vgl. Art. 63 Abs. 5 VwVG und Art. 73 StBOG sowie Art. 5 und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