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RR.2021.25 vom 19. Januar 2022</w:t>
      </w:r>
    </w:p>
    <w:p>
      <w:r>
        <w:t>Bundesstrafgericht, 2022-01-19, DE</w:t>
      </w:r>
    </w:p>
    <w:p>
      <w:r>
        <w:rPr>
          <w:b/>
        </w:rPr>
        <w:t xml:space="preserve">Quelle: </w:t>
      </w:r>
      <w:r>
        <w:t>https://mcp.opencaselaw.ch/entscheid/bstger_RR.2021.25</w:t>
      </w:r>
    </w:p>
    <w:p>
      <w:r>
        <w:t>FR: TPF RR.2021.25 du 19 janvier 2022</w:t>
      </w:r>
    </w:p>
    <w:p>
      <w:r>
        <w:t>IT: TPF RR.2021.25 del 19 gennaio 2022</w:t>
      </w:r>
    </w:p>
    <w:p>
      <w:pPr>
        <w:pStyle w:val="Heading2"/>
      </w:pPr>
      <w:r>
        <w:t>Regeste</w:t>
      </w:r>
    </w:p>
    <w:p>
      <w:r>
        <w:t>Internationale Rechtshilfe in Strafsachen an Deutschland; Herausgabe von Beweismitteln (Art. 74 IRSG); Kosten und Entschädigung bei Rückzug des Rechtshilfeersuchens (Art. 72 BZP)</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bilateralen Ab- kommen», 8.1 Anhang A; https://www.admin.ch/opc/de/european-union/in- ternational-agreements/008.html) zur Anwendung (TPF 2009 111 E. 1.2 S. 113). Günstigere Bestimmungen bilateraler oder multilateraler Überein- künfte zwischen den Vertragsparteien bleiben unberührt (Art. 48 Abs. 2 SDÜ; Art. 26 Abs. 2 und 3 EUeR).</w:t>
      </w:r>
    </w:p>
    <w:p>
      <w:r>
        <w:t>- 8 -</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S. 297; 142 IV 250 E. 3; 140 IV 123 E. 2 S. 126; jeweils m.w.H.). Vorbehalten bleibt die Wahrung der Menschenrechte (BGE 145 IV 294 E. 2.1 S. 297; 123 II 595 E. 7c S. 617;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Der Beschwerdeführer macht wiederholt geltend, die Beschwerdegegnerin habe die angefochtene Teilschlussverfügung in Wiedererwägung gezogen und widerrufen (act. 21, 28). Seine Argumentation widerspricht den Akten. Mit Schreiben vom 24. Juni 2021 haben die deutschen Behörden ihr Rechts- hilfeersuchen samt Ergänzung zurückgezogen, womit die Grundlage für die Gewährung der Rechtshilfe weggefallen ist. Halten die deutschen Strafver- folgungsbehörden nicht mehr an ihren Rechtshilfeersuchen fest, werden die edierten Bankunterlagen gemäss Ziffer 2 der angefochtenen Teilschlussver- fügung nicht nach Deutschland übermittelt. Bei dieser Sachlage hat der Be- schwerdeführer unstreitig kein Interesse mehr an der Behandlung seiner Be- schwerde. Das Beschwerdeverfahren RR.2021.25 ist daher aufgrund des Rückzugs des Rechtshilfeersuchens und dessen Ergänzung als gegen- standslos vom Geschäftsverzeichnis abzuschreiben (vgl. Urteile des Bun- desgerichts 1C_122/2008 vom 30. Mai 2008 E. 1; 1A.240/2006 vom 11. Sep- tember 2007; Entscheide des Bundesstrafgerichts RR.2015.299 vom 2. Au- gust 2016 E. 2.1; RR.2009.32 vom 16. November 2009 E. 1).</w:t>
      </w:r>
    </w:p>
    <w:p>
      <w:r>
        <w:rPr>
          <w:b/>
        </w:rPr>
        <w:t>E. 3.1</w:t>
      </w:r>
    </w:p>
    <w:p>
      <w:r>
        <w:t>Für den Entscheid über die Kosten- und Entschädigungsfolgen gelangt nach konstanter Praxis Art. 72 BZP im Verwaltungsverfahren sinngemäss zur An- wendung (TPF 2011 118 E. 2.2.2; Entscheide des Bundesstrafgerichts RR.2015.299 vom 2. August 2016 m.w.H.). Gemäss Art. 72 BZP entscheidet</w:t>
      </w:r>
    </w:p>
    <w:p>
      <w:r>
        <w:t>- 9 -</w:t>
      </w:r>
    </w:p>
    <w:p>
      <w:r>
        <w:t>das Gericht mit summarischer Begründung über die Prozesskosten auf Grund der Sachlage vor Eintritt des Erledigungsgrundes.</w:t>
      </w:r>
    </w:p>
    <w:p>
      <w:r>
        <w:rPr>
          <w:b/>
        </w:rPr>
        <w:t>E. 3.2</w:t>
      </w:r>
    </w:p>
    <w:p>
      <w:r>
        <w:t>Bei der Beurteilung der Kosten- und Entschädigungsfolgen ist somit in erster Linie auf den mutmasslichen Ausgang des Prozesses abzustellen. Die Re- gelung bezweckt, denjenigen, der in guten Treuen Beschwerde erhoben hat, nicht im Kostenpunkt dafür zu bestrafen, dass die Beschwerde infolge nach- träglicher Änderung der Umstände abzuschreiben ist, ohne dass ihm dies anzulasten wäre. Bei der summarischen Prüfung des mutmasslichen Pro- zessausgangs ist nicht auf alle Rügen einzeln und detailliert einzugehen (BGE 118 Ia 488 E. 4a S. 494 f.). Soweit der Beschwerdeführer vorliegend Art. 4b VGKE angewendet wissen will (act. 28), ist er darauf hinzuweisen, dass sich selbst auf dieser Grundlage bei der Beurteilung der Kosten- und Entschädigungsfolgen nichts ändern würde. So sind auch nach dessen Abs. 2 die Kosten auf Grund der Sachlage vor Eintritt des Erledigungsgrunds festzulegen, wenn das Verfahren ohne Zutun der Parteien gegenstandslos geworden ist, was aufgrund des Rückzug des Rechtshilfeersuchens durch die ersuchende Behörde vorliegend gerade der Fall ist.</w:t>
      </w:r>
    </w:p>
    <w:p>
      <w:r>
        <w:rPr>
          <w:b/>
        </w:rPr>
        <w:t>E. 4</w:t>
      </w:r>
    </w:p>
    <w:p>
      <w:r>
        <w:t>Beim angefochtenen Entscheid handelte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 Ziff. 1 StBOG). Zur Beschwerde ist berechtigt, wer persönlich und direkt von der Rechtshilfemassnahme betroffen ist und ein schutzwürdiges Interesse an deren Aufhebung oder Änderung hat (Art. 80h lit. b IRSG). Als persönlich und direkt betroffen in diesem Sinne gilt namentlich der Kontoinhaber bei Erhebung von Kontoinformationen (Art. 9a lit. a IRSV). Die von der Teilschlussverfügung betroffenen und zur Herausgabe an die deutschen Be- hörden bestimmten Unterlagen beziehen sich auf Bankkonten, welche auf den Beschwerdeführer lauten. Damit wäre auch die Beschwerdelegitimation des Beschwerdeführers zu bejahen gewesen. Auf die fristgerecht erhobene Beschwerde wäre einzutreten gewesen.</w:t>
      </w:r>
    </w:p>
    <w:p>
      <w:r>
        <w:rPr>
          <w:b/>
        </w:rPr>
        <w:t>E. 5.1</w:t>
      </w:r>
    </w:p>
    <w:p>
      <w:r>
        <w:t>Der Beschwerdeführer rügte die fehlende beidseitige Strafbarkeit. Die ihm vorgeworfene Verletzung von § 15a der deutschen Insolvenzordnung erfülle keinen Straftatbestand nach schweizerischem Recht. Die sog. Konkursver- schleppung sei weder von Art. 164 StGB noch von Art. 165 StGB erfasst.</w:t>
      </w:r>
    </w:p>
    <w:p>
      <w:r>
        <w:t>- 10 -</w:t>
      </w:r>
    </w:p>
    <w:p>
      <w:r>
        <w:t>Sodann sei auch der Tatbestand der «Firmenbestattung» dem schweizeri- schen Recht völlig fremd. Ob der Straftatbestand des «Bankrotts» nach § 283 D-StGB ein Straftatbestand nach schweizerischem Recht erfülle, könne offen bleiben mangels rechtsgenüglicher Schilderung des Sachver- halts (act. 1 S. 20 f.).</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Der Rechtshilferichter hat weder Tat- noch Schuldfragen zu prüfen und grundsätzlich auch keine Beweiswür- digung vorzunehmen, sondern ist vielmehr an die Sachdarstellung im Ersu- chen gebunden, soweit sie nicht durch offensichtliche Fehler, Lücken oder Widersprüche sofort entkräftet wird (vgl. BGE 132 II 81 E. 2.1 S. 85 m.w.H.; Urteil des Bundesgerichts 1A.90/2006 und weitere vom 30. August 2006 E.2.1; TPF 2007 150 E.3.2.4).</w:t>
      </w:r>
    </w:p>
    <w:p>
      <w:r>
        <w:rPr>
          <w:b/>
        </w:rPr>
        <w:t>E. 5.3</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- 11 -</w:t>
      </w:r>
    </w:p>
    <w:p>
      <w:r>
        <w:rPr>
          <w:b/>
        </w:rPr>
        <w:t>E. 5.4</w:t>
      </w:r>
    </w:p>
    <w:p>
      <w:r>
        <w:t>Dem Rechtshilfeersuchen und seinen Ergänzungen ist im Wesentlichen die folgende Sachverhaltsdarstellung zu entnehmen:</w:t>
      </w:r>
    </w:p>
    <w:p>
      <w:r>
        <w:t>Gemäss den deutschen Strafverfolgungsbehörden soll der angeklagte Be- schwerdeführer vom Angeklagten E. dessen Anteile an der F. GmbH erwor- ben haben. Damit sei der Beschwerdeführer alleiniger Gesellschafter der G. GmbH und der H. GmbH geworden. Wie mit E. zuvor verabredet, habe der Beschwerdeführer am 13. Oktober 2011 E. und den Angeklagten I. als Ge- schäftsführer der G. GmbH sowie E. und den Angeklagten J. als Geschäfts- führer der K. GmbH abberufen und sich selbst zum neuen Geschäftsführer für beide Gesellschaften bestellt. Aufgrund einer zuvor mit E. getroffenen Absprache habe der Beschwerdeführer jedoch lediglich die Funktion eines formalen “Strohgeschäftsführers“ eingenommen, während E. als faktischer Geschäftsführer weiterhin die massgeblichen Entscheidungen für die Gesell- schaften getroffen habe. E. und der Beschwerdeführer sollen vereinbart ha- ben, dass dieser die Funktion des “Firmenbestatters“ übernehmen solle. E. und der Beschwerdeführer sollen Geschäftspartnern und Gläubigern den Eindruck vermittelt haben, dass die Gesellschaft weiterhin ihrer regulären Geschäftstätigkeit nachgehe, obwohl die Gesellschaft gezielt auf das ange- strebte Insolvenzverfahren vorbereitet worden sei. Der Beschwerdeführer habe gewusst, dass im Zeitpunkt der Veräusserung der Geschäftsanteile und Auswechslung der Geschäftsführung bei beiden Gesellschaften bereits der Insolvenzgrund der Zahlungsunfähigkeit vorgelegen habe. Obwohl er be- reits damals verpflichtet gewesen wäre, zeitgerecht Insolvenzanträge für die Gesellschaften zu stellen, habe er dies absprachegemäss gemeinsam mit dem weiterhin als faktischen Geschäftsführer agierenden E. in Umsetzung des vom Angeklagten L. entwickelten Plans absichtlich unterlassen. Der Be- schwerdeführer habe für die G. GmbH erst am 1. Dezember 2011 und für die K. GmbH erst am 12. Dezember 2011 jeweils nach Rücksprache mit E. und L. einen Antrag auf Eröffnung des Insolvenzverfahrens über das Vermö- gen der betreffenden Gesellschaft gestellt. Der plangemäss zum Insolvenz- verwalter bestellte Angeklagte M. habe die gegen die G. GmbH. und die K. GmbH festgestellte Hauptforderung auf je über EUR 2 Mio. beziffert. Mit die- ser Vorgehensweise habe E. den von L. entwickelten und mit M. abgestimm- ten Plan zur «Firmenbestattung» der G. GmbH und der K. GmbH umgesetzt. Dieser Plan habe zum einen vorgesehen, dass für die Gesellschaften nach der Verlegung ihrer Geschäftssitze, der Veräusserung der Geschäftsanteile und der Auswechslung der Geschäftsführung durch den neuen, eingeweih- ten Geschäftsführer zu gegebener Zeit gezielt und kontrolliert entsprechende Insolvenzanträge gestellt werden sollten. Auf diese Weise hätten E., I. und J. aus den erwarteten Insolvenzverfahren herausgehalten werden sollen. Ferner hätte es den Gläubigern der Gesellschaft erschwert werden sollen,</w:t>
      </w:r>
    </w:p>
    <w:p>
      <w:r>
        <w:t>- 12 -</w:t>
      </w:r>
    </w:p>
    <w:p>
      <w:r>
        <w:t>ihre Forderungen geltend zu machen. Zum anderen habe der Plan beinhal- tet, dass E. das teilweise profitable Geschäft der H. GmbH durch Übertra- gung auf eine eigens zu diesem Zweck errichtete, namensgleiche KG (H. KG) hätte fortführen sollen (KSTA RE.2020.130, Reg. 1, pag. 1 ff.).</w:t>
      </w:r>
    </w:p>
    <w:p>
      <w:r>
        <w:rPr>
          <w:b/>
        </w:rPr>
        <w:t>E. 5.5</w:t>
      </w:r>
    </w:p>
    <w:p>
      <w:r>
        <w:t>Der vorstehend wiedergegebenen Sachverhaltsdarstellung der ersuchenden Behörde sind keine offensichtlichen Fehler, Lücken oder Widersprüche zu entnehmen. Bei einer prima facie Beurteilung fällt das inkriminierte Verhalten nach schweizerischem Recht namentlich unter den Tatbestand der Gläubi- gerschädigung durch Dritte (Art. 164 Ziff. 2 StGB). Danach wird der Dritte, der zum Schaden der Gläubiger einer natürlichen oder juristischen Person das Schuldnervermögen vermindert (namentlich durch Veräusserung ohne Gegenleistung oder unter Wert), mit Freiheitsstrafe bis zu drei Jahren oder Geldstrafe bestraft. Objektive Strafbarkeitsbedingung ist, dass über den Schuldner (nachträglich) der Konkurs eröffnet wird (vgl. Art. 164 Ziff. 1 Abs. 5 i.V.m. Ziff. 2 StGB). Die Betreibungs- und Konkursdelikte schützen primär den Anspruch der Gläubiger auf Befriedigung aus dem verbleibenden Vermögen des Schuldners. Dritter im Sinne von Art. 164 Ziff. 2 StGB ist je- der, der nicht mit dem Schuldner identisch ist; in Frage kommen auch Ge- sellschaftsorgane (vgl. Urteil des Bundesgerichts 1A.112/2014 vom 17. Sep- tember 2004 E. 2.5 m.w.H.). Nach dem Gesagten ist die Rechtshilfevoraus- setzung der beidseitigen Strafbarkeit grundsätzlich erfüllt. Es braucht nicht weiter geprüft zu werden, ob neben dem Tatbestand der Gläubigerschädi- gung noch weitere Delikte des schweizerischen Rechts in Frage kämen. Die Beschwerde hätte sich in diesem Punkt als unbegründet erwiesen.</w:t>
      </w:r>
    </w:p>
    <w:p>
      <w:r>
        <w:rPr>
          <w:b/>
        </w:rPr>
        <w:t>E. 6.1</w:t>
      </w:r>
    </w:p>
    <w:p>
      <w:r>
        <w:t>Der Beschwerdeführer kritisierte, dass die Staatsanwaltschaft Hamburg zum massgeblichen Zeitpunkt für die Einleitung eines Rechtshilfeverfahrens nicht mehr zuständig gewesen sei, weshalb das Ersuchen mangels Zuständigkeit der ersuchenden Behörde abzuweisen und die angefochtene Verfügung voll- umgänglich aufzuheben sei (act. 1 S. 19).</w:t>
      </w:r>
    </w:p>
    <w:p>
      <w:r>
        <w:rPr>
          <w:b/>
        </w:rPr>
        <w:t>E. 6.2</w:t>
      </w:r>
    </w:p>
    <w:p>
      <w:r>
        <w:t>Wie das BJ zutreffend ausführt (act. 11), sind die Erklärungen Deutschlands zum EUeR und zweiten Zusatzprotokoll massgeblich, wonach die deutschen Staatsanwaltschaften Justizbehörden im Sinne des EUeR sind. Stellt dem- nach eine deutsche Staatanwaltschaft ein Rechtshilfeersuchen, wie vorlie- gend geschehen, ist die Schweiz staatsvertraglich zur Rechtshilfe verpflich- tet, wenn die weiteren Rechtshilfevoraussetzungen erfüllt sind. Nach der Rechtsprechung darf die Rechtshilfe nur verweigert werden, wenn der ersu- chende Staat offensichtlich unzuständig ist, d.h. dessen Justizbehörden ihre</w:t>
      </w:r>
    </w:p>
    <w:p>
      <w:r>
        <w:t>- 13 -</w:t>
      </w:r>
    </w:p>
    <w:p>
      <w:r>
        <w:t>Zuständigkeit in willkürlicher Weise bejaht haben (BGE 142 IV 250 E. 6.2 S. 257 mit Hinweisen). Auch daraus folgt, dass für die Gewährung der Rechtshilfe an Deutschland a maiore minus die Frage der Zuständigkeit in- nerhalb des ersuchenden Staates ohne Bedeutung ist, solange es sich bei der ersuchenden Behörde um eine Justizbehörde im Sinne von Art. 1 EUeR handelt. Die Rüge des Beschwerdeführers hätte sich demnach auch in die- sem Punkt als unbegründet erwiesen.</w:t>
      </w:r>
    </w:p>
    <w:p>
      <w:r>
        <w:rPr>
          <w:b/>
        </w:rPr>
        <w:t>E. 7.1</w:t>
      </w:r>
    </w:p>
    <w:p>
      <w:r>
        <w:t>Sodann brachte der Beschwerdeführer vor, der angegebene Verwendungs- zweck der Rechtshilfe sei vorgeschoben. Das Rechtshilfeersuchen diene tat- sächlich der Suche nach belastendem Material gegen ihn und/oder die C. AG und erfolge im Interesse einer steuerrechtlichen Untersuchung. Das Er- suchen sei auch zufolge unzulässiger Beweisausforschung abzuweisen und dementsprechend die angefochtene Verfügung vollumfänglich aufzuheben. Weiter machte der Beschwerdeführer geltend, es bestünden aufgrund wider- sprüchlicher, falscher oder irreführender Ausführungen Zweifel an der Sach- verhaltsdarstellung und der Erklärung bezüglich des behaupteten Verwen- dungszwecks, weshalb die Übermittlung nach Treu und Glauben sowie auf- grund des Vorbehalts des Ordre Public unterbleiben müsse. Die Berufung auf das völkerrechtliche Vertrauensprinzip rechtfertige sich in casu nicht (act. 1 S. 19 ff.).</w:t>
      </w:r>
    </w:p>
    <w:p>
      <w:r>
        <w:rPr>
          <w:b/>
        </w:rPr>
        <w:t>E. 7.2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w:t>
      </w:r>
    </w:p>
    <w:p>
      <w:r>
        <w:rPr>
          <w:b/>
        </w:rPr>
        <w:t>E. 7.3</w:t>
      </w:r>
    </w:p>
    <w:p>
      <w:r>
        <w:t>Mit seinen Bestreitungen des Verwendungszwecks, welchen die deutschen Behörden in ihrem Rechtshilfeersuchen angegeben haben (s. supra lit. A), hat der Beschwerdeführer keine offensichtlichen Fehler, Lücken oder Wider- sprüche aufgezeigt, welche deren Sachdarstellung sofort entkräften würde.</w:t>
      </w:r>
    </w:p>
    <w:p>
      <w:r>
        <w:t>- 14 -</w:t>
      </w:r>
    </w:p>
    <w:p>
      <w:r>
        <w:t>Vielmehr ist von einem konkreten Sachzusammenhang zwischen den bean- tragten Kontenunterlagen und dem deutschen Strafverfahren auszugehen. Von einer fishing expedition kann keine Rede sein. Auch aus dem Umstand, dass die ersuchende Behörde später zunächst um Sistierung des Rechtshil- feverfahrens ersuchte und sodann ihr Rechtshilfeersuchen zurückzog, kann der Beschwerdeführer nichts zu seinen Gunsten ableiten. Zusammenfas- send wäre eine Verletzung des Verhältnismässigkeitsprinzips nicht auszu- machen gewesen.</w:t>
      </w:r>
    </w:p>
    <w:p>
      <w:r>
        <w:rPr>
          <w:b/>
        </w:rPr>
        <w:t>E. 7.4</w:t>
      </w:r>
    </w:p>
    <w:p>
      <w:r>
        <w:t>Soweit der Beschwerdeführer vorbrachte, die herauszugebenden Unterla- gen in Deutschland für ein fiskalisches Verfahren gegen den Beschwerde- führer verwendet worden wären, ist er auf das in Art. 2 EUeR geregelte Spe- zialitätsprinzip zu verweisen. Danach kann die Rechtshilfe u.a. verweigert werden, wenn sich das Ersuchen auf strafbare Handlungen bezieht, die vom ersuchten Staat als politische, als mit solchen zusammenhängende oder als fiskalische strafbare Handlungen angesehen werden (Art. 2 lit. a EUeR). Die Schweiz hat sich das Recht vorbehalten, Rechtshilfe auf Grund des EUeR nur unter der ausdrücklichen Bedingung zu leisten, dass die Ergebnisse der in der Schweiz durchgeführten Erhebungen und die in herausgegebenen Ak- ten oder Schriftstücken enthaltenen Auskünfte ausschliesslich für die Aufklä- rung und Beurteilung derjenigen strafbaren Handlungen verwendet werden dürfen, für die Rechtshilfe bewilligt wird (Vorbehalt zu Art. 2 EUeR lit. b). Diese Regelung korrespondiert denn auch mit jener von Art. 67 i.V.m. Art. 63 IRSG. In der Schlussverfügung der angefochtenen Teilschlussverfügung der Staatsanwaltschaft wurde der in Fällen der vorliegenden Art übliche Spezia- litätsvorbehalt angebracht. Die Einhaltung dieses Spezialitätsgrundsatzes durch Staaten, welche mit der Schweiz durch einen Rechtshilfevertrag ver- bunden sind, wird nach dem völkerrechtlichen Vertrauensprinzip als selbst- verständlich vorausgesetzt, ohne dass die Einholung einer ausdrücklichen Zusicherung notwendig wäre (vgl. Urteil des Bundesgerichts 1A.105/2001 vom 8. August 2001 E. 2e; BGE 117 Ib 64 E. 5f, je m.w.H.). Vorliegend be- stehen sodann keine Anhaltspunkte dafür, dass die deutschen Behörden das Spezialitätsprinzip bereits verletzt hätten oder sich künftig über einen sol- chen Vorbehalt hinwegsetzen würden. Jedenfalls erhellt weder aus den Ak- ten noch wird vom Beschwerdeführer konkret dargelegt, inwiefern die deut- schen Behörden die fraglichen Auskünfte aus den Bankunterlagen in Ver- fahren für Ermittlungen in fiskalischen Belangen, welche dem Spezialitäts- vorbehalt widersprechen, benützen oder als Beweismittel gegen den Be- schwerdeführer verwenden würden. Die diesbezüglichen Vorbringen des Beschwerdeführers hätten sich daher als unbegründet erwiesen.</w:t>
      </w:r>
    </w:p>
    <w:p>
      <w:r>
        <w:t>- 15 -</w:t>
      </w:r>
    </w:p>
    <w:p>
      <w:r>
        <w:rPr>
          <w:b/>
        </w:rPr>
        <w:t>E. 8</w:t>
      </w:r>
    </w:p>
    <w:p>
      <w:r>
        <w:t>Nach dem Gesagten wäre die Beschwerde gestützt auf diese summarische Prüfung der Rügen des Beschwerdeführers als unbegründet abzuweisen ge- wesen. Es rechtfertigt sich daher, dem Beschwerdeführer in analoger An- wendung von Art. 72 BZP die Kosten des gegenstandslos gewordenen Be- schwerdeverfahrens aufzuerlegen (vgl. Art. 63 Abs. 1 VwVG). Unter Berück- sichtigung aller massgeblichen Umstände ist die Gerichtsgebühr auf Fr. 3‘000.-- festzusetzen (Art. 63 Abs. 5 VwVG i.V.m. Art. 73 StBOG und Art. 5 und 8 Abs. 3 lit. a BStrKR), unter Anrechnung des geleisteten Kosten- vorschusses in der Höhe von Fr. 4‘000.77. Die Bundesstrafgerichtskasse ist anzuweisen, dem Beschwerdeführer den Restbetrag von Fr. 1‘000.77 zu- rückzuerstatten.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