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RR.2021.242 vom 25. November 2021</w:t>
      </w:r>
    </w:p>
    <w:p>
      <w:r>
        <w:t>Bundesstrafgericht, 2021-11-25, DE</w:t>
      </w:r>
    </w:p>
    <w:p>
      <w:r>
        <w:rPr>
          <w:b/>
        </w:rPr>
        <w:t xml:space="preserve">Quelle: </w:t>
      </w:r>
      <w:r>
        <w:t>https://mcp.opencaselaw.ch/entscheid/bstger_RR.2021.242</w:t>
      </w:r>
    </w:p>
    <w:p>
      <w:r>
        <w:t>FR: TPF RR.2021.242 du 25 novembre 2021</w:t>
      </w:r>
    </w:p>
    <w:p>
      <w:r>
        <w:t>IT: TPF RR.2021.242 del 25 novembre 2021</w:t>
      </w:r>
    </w:p>
    <w:p>
      <w:pPr>
        <w:pStyle w:val="Heading2"/>
      </w:pPr>
      <w:r>
        <w:t>Regeste</w:t>
      </w:r>
    </w:p>
    <w:p>
      <w:r>
        <w:t>Internationale Rechtshilfe in Strafsachen an Russland; Herausgabe von Beweismitteln (Art. 74 IRSG)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September 2021 mit eingeschriebener Postsendung versandt wurde; die Sendung am 30. September 2021 zur Abholung gemeldet wurde; der Emp- fänger am 7. Oktober die Abholfrist verlängerte; die Sendung am 11. Oktober 2021 zugestellt wurde (act. 1.3, 3);</w:t>
      </w:r>
    </w:p>
    <w:p>
      <w:r>
        <w:t>- die Beschwerdeführerin geltend macht, die Zustellfiktion komme vorliegend nicht zum Tragen; zum einen, weil sie an der rechtzeitigen Abholung unver- schuldet verhindert gewesen sei, was eine «Wiederherstellung der Be- schwerdefrist» in dem Sinne rechtfertige, dass die Frist erst mit der erfolgten Abholung der Schlussverfügung am 11. Oktober 2021 zu laufen begonnen habe; zum anderen, weil sie darauf habe vertrauen dürfen, dass die Be- schwerdefrist erst mit der Abholung der Schlussverfügung am 11. Oktober 2021 zu laufen begonnen habe;</w:t>
      </w:r>
    </w:p>
    <w:p>
      <w:r>
        <w:t>- die Zustellungsfiktion voraussetzt, dass der Adressat mit der fraglichen Zu- stellung hatte rechnen müssen (BGE 134 V 49 E. 4 S. 52); diese Vorausset- zung erfüllt ist, wenn ein Verfahrens- oder Prozessrechtsverhältnis begrün- det wurde, indem die betroffene Person selbst ein Verfahren eingeleitet hat oder ihr die Einleitung eines Verfahrens rechtsgenüglich mitgeteilt wurde (EGLI, in: Waldmann/Weissenberger [Hrsg.], Praxiskommentar, 2. Aufl. 2016, Art. 20 VwVG N. 54);</w:t>
      </w:r>
    </w:p>
    <w:p>
      <w:r>
        <w:t>- aus der angefochtenen Schlussverfügung vom 29. September 2021 hervor- geht, dass die Beschwerdegegnerin mit Eintretensverfügung vom 19. Mai 2021 u.a. die Aktenedition bei der Beschwerdeführerin anordnete und die Beschwerdeführerin mit Schreiben vom 29. Juni 2021 der Beschwerdegeg- nerin die angeforderten Dokumente übermittelte;</w:t>
      </w:r>
    </w:p>
    <w:p>
      <w:r>
        <w:t>- damit von einem Verfahrensverhältnis auszugehen ist und die Beschwerde- führerin entsprechend mit der Zustellung der angefochtenen Schlussverfü- gung vom 29. September 2021 zu rechnen hatte;</w:t>
      </w:r>
    </w:p>
    <w:p>
      <w:r>
        <w:t>- 4 -</w:t>
      </w:r>
    </w:p>
    <w:p>
      <w:r>
        <w:t>- die Beschwerdeführerin damit auch der Pflicht unterlag dafür zu sorgen, dass behördliche Akte, die das Verfahren betreffen, auch tatsächlich zugestellt werden können, ungeachtet allfälliger Wechsel in den Organen der juristi- schen Person;</w:t>
      </w:r>
    </w:p>
    <w:p>
      <w:r>
        <w:t>- vor diesem Hintergrund die Vorbringen der Beschwerdeführerin, sie sei an der rechtzeitigen Abholung der Sendung unverschuldet verhindert gewesen, unbehelflich sind;</w:t>
      </w:r>
    </w:p>
    <w:p>
      <w:r>
        <w:t>- es bei der Zustellfiktion darum geht, den Zeitpunkt der Zustellung behördli- cher Entscheide allgemein und verbindlich zu regeln; die Frist bis zum Ein- treten der Zustellfiktion danach nicht verlängert wird, wenn ein Abholen nach den anwendbaren Bestimmungen der Post auch noch länger möglich ist; auch wenn der Postbote auf der Abholungseinladung versehentlich eine an- dere als die siebentägige Frist notiert, dies grundsätzlich nichts am Zeitpunkt des Eintritts der Zustellfiktion ändert; denn dieser bedarf einer klaren, einfa- chen und einheitlichen Regelung; es deshalb nicht überspitzt formalistisch ist, die Zustellungsfiktion unabhängig von der postalischen Abholfrist eintre- ten zu lassen, auch wenn diese ohne Veranlassung durch den Empfänger von der Post spontan oder irrtümlich verlängert wird (BGE 127 I 31 E. 2b S. 34 f. mit Hinweis; Urteil des Bundesgerichts 4A_704/2011 vom 16. Januar 2012 E. 3.4 m.w.H.);</w:t>
      </w:r>
    </w:p>
    <w:p>
      <w:r>
        <w:t>- vor diesem Hintergrund auch das Vorbringen der Beschwerdeführerin, sie habe darauf vertrauen dürfen, dass die Beschwerdefrist erst mit der Abho- lung der angefochtenen Schlussverfügung am 11. Oktober 2021 zu laufen begonnen habe, unbehelflich ist, zumal das Auseinanderklaffen des Datums der gesetzlichen Zustellfiktion und der tatsächlichen Abholfrist auf die Ver- längerung durch die Beschwerdeführerin zurückzuführen ist;</w:t>
      </w:r>
    </w:p>
    <w:p>
      <w:r>
        <w:t>- folglich die angefochtene Schlussverfügung vom 29. September 2021 am siebten Tag nach dem ersten erfolglosen Zustellungsversuch vom 30. Sep- tember 2021, mithin am 7. Oktober 2021 als zugestellt gilt;</w:t>
      </w:r>
    </w:p>
    <w:p>
      <w:r>
        <w:t>- der letzte Tag der 30-tägigen Beschwerdefrist auf den Samstag, 6. Oktober 2021 fiel;</w:t>
      </w:r>
    </w:p>
    <w:p>
      <w:r>
        <w:t>- die Frist am nächstfolgenden Werktag endet, wenn der letzte Tag der Frist ein Samstag, ein Sonntag oder ein vom Bundesrecht oder vom kantonalen Recht anerkannter Feiertag ist;</w:t>
      </w:r>
    </w:p>
    <w:p>
      <w:r>
        <w:t>- demnach die Beschwerdefrist am Montag, 8. November 2021, endete;</w:t>
      </w:r>
    </w:p>
    <w:p>
      <w:r>
        <w:t>- 5 -</w:t>
      </w:r>
    </w:p>
    <w:p>
      <w:r>
        <w:t>- schriftliche Eingaben spätestens am letzten Tage der Frist der Behörde ein- gereicht oder zu deren Handen der schweizerischen Post oder einer schwei- zerischen diplomatischen oder konsularischen Vertretung übergeben wer- den (Art. 21 Abs. 1 VwVG);</w:t>
      </w:r>
    </w:p>
    <w:p>
      <w:r>
        <w:t>- die vorliegende Beschwerde vom 9. November 2021 datiert und gleichentags der schweizerischen Post übergeben wurde;</w:t>
      </w:r>
    </w:p>
    <w:p>
      <w:r>
        <w:t>- die Beschwerde damit nicht innert Frist erhoben wurde;</w:t>
      </w:r>
    </w:p>
    <w:p>
      <w:r>
        <w:t>- das Vorliegen der weiteren Eintretensvoraussetzungen offenbleiben kann;</w:t>
      </w:r>
    </w:p>
    <w:p>
      <w:r>
        <w:t>- nach dem Gesagten auf die Beschwerde nicht einzutreten ist;</w:t>
      </w:r>
    </w:p>
    <w:p>
      <w:r>
        <w:t>- die Gerichtskosten bei diesem Ausgang des Verfahrens der Beschwerdefüh- rerin aufzuerlegen sind (vgl. Art. 63 Abs. 1 VwVG);</w:t>
      </w:r>
    </w:p>
    <w:p>
      <w:r>
        <w:t>- die Gerichtsgebühr auf Fr. 1’000.– festzusetzen ist (vgl. Art. 63 Abs. 5 VwVG i.V.m. Art. 73 StBOG und Art. 5 und 8 Abs. 3 lit. a des Reglements des Bun- desstrafgerichts vom 31. August 2010 über die Kosten, Gebühren und Ent- schädigungen in Bundesstrafverfahren [BStKR; SR 173.713.162]), unter An- rechnung des entsprechenden Betrags am geleisteten Kostenvorschuss von Fr. 5'000.–; die Bundesstrafgerichtskasse anzuweisen ist, der Beschwerde- führerin Fr. 4'000.– zurückzuerstatten;</w:t>
      </w:r>
    </w:p>
    <w:p>
      <w:r>
        <w:t>- 6 -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