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RR.2021.224 vom 30. Dezember 2022</w:t>
      </w:r>
    </w:p>
    <w:p>
      <w:r>
        <w:t>Bundesstrafgericht, 2022-12-30, FR</w:t>
      </w:r>
    </w:p>
    <w:p>
      <w:r>
        <w:rPr>
          <w:b/>
        </w:rPr>
        <w:t xml:space="preserve">Quelle: </w:t>
      </w:r>
      <w:r>
        <w:t>https://mcp.opencaselaw.ch/entscheid/bstger_RR.2021.224</w:t>
      </w:r>
    </w:p>
    <w:p>
      <w:r>
        <w:t>FR: TPF RR.2021.224 du 30 décembre 2022</w:t>
      </w:r>
    </w:p>
    <w:p>
      <w:r>
        <w:t>IT: TPF RR.2021.224 del 30 dicembre 2022</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ainsi que par l'Accord entre le Conseil fédéral suisse et le Gouvernement de la République française en vue de compléter la CEEJ (Accord bilatéral; RS 0.351.934.92), conclu le 28 octobre 1996 et en vigueur depuis le 1er mai 2000. Peut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w:t>
      </w:r>
    </w:p>
    <w:p>
      <w:r>
        <w:t>- 4 -</w:t>
      </w:r>
    </w:p>
    <w:p>
      <w:r>
        <w:t>1er février 1997. S'appliquent aussi à l'entraide pénale entre ces deux Etats, les art. 48 ss de la Convention d'application de l'Accord de Schengen du 14 juin 1985 (CAAS; n° CELEX 42000A0922[02]; Journal officiel de l'Union européenne L 239 du 22 septembre 2000, p. 19-62; v. arrêt du Tribunal pénal fédéral RR.2008.98 du 18 décembre 2008 consid. 1.3) ainsi que les dispositions pertinentes de l'Accord de coopération entre la Confédération suisse, d'une part, et la Communauté européenne et ses Etats membres, d'autre part, pour lutter contre la fraude et toute autre activité illégale portant atteinte à leurs intérêts financiers conclu le 26 octobre 2004 (Accord anti- fraude; RS 0.351.926.81; v. Message du Conseil fédéral du 1er octobre 2004 relatif à l'approbation des accords bilatéraux entre la Suisse et l'Union européenne, y compris les actes législatifs relatifs à la transposition des accords [« accords bilatéraux II »] in FF 2004 5593, 5807- 5827), appliqués provisoirement par la Suisse et la France dès le 8 avril 2009.</w:t>
      </w:r>
    </w:p>
    <w:p>
      <w:r>
        <w:rPr>
          <w:b/>
        </w:rPr>
        <w:t>E. 1.2</w:t>
      </w:r>
    </w:p>
    <w:p>
      <w:r>
        <w:t>Les dispositions des traités précités l'emportent sur le droit interne régissant la matière, soit la loi fédérale sur l’entraide internationale en matière pénale (EIMP; RS 351.1) et son ordonnance d'exécution (OEIMP; RS 351.11). Le droit interne reste toutefois applicable aux questions non réglées, explicitement ou implicitement, par les dispositions conventionnelles (art. 1 al. 1 EIMP) ou lorsqu'il permet l'octroi de l'entraide à des conditions plus favorables (ATF 142 IV 250 consid. 3; 140 IV 123 consid. 2; 137 IV 33 consid. 2.2.2; 136 IV 82 consid. 3.1; arrêt du Tribunal pénal fédéral RR.2010.9 du 15 avril 2010 consid. 1.3), ce qui est valable aussi dans le rapport entre les normes internationales (v. art. 48 ch. 2 CAAS, art. 39 ch. 2 CBI et art. 25 al. 2 de l'Accord anti-fraude). L'application de la norme la plus favorable doit avoir lieu dans le respect des droits fondamentaux (ATF 135 IV 212 consid 2.3; 123 II 595 consid. 7c).</w:t>
      </w:r>
    </w:p>
    <w:p>
      <w:r>
        <w:rPr>
          <w:b/>
        </w:rPr>
        <w:t>E. 1.3</w:t>
      </w:r>
    </w:p>
    <w:p>
      <w:r>
        <w:t>En vertu de l'art. 37 al. 2 let. a ch. 1 de la loi fédérale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La personne visée par la procédure pénale étrangère peut recourir aux mêmes conditions (art. 21 al. 3 EIMP). Selon la jurisprudence, le recourant doit être touché plus que quiconque ou la généralité des administrés dans un intérêt important, résultant de sa situation par rapport à</w:t>
      </w:r>
    </w:p>
    <w:p>
      <w:r>
        <w:t>- 5 -</w:t>
      </w:r>
    </w:p>
    <w:p>
      <w:r>
        <w:t>l’objet litigieux (ATF 126 II 258 consid. 2d et références citées). L’art. 9a let. a OEIMP reconnaît au titulaire d’un compte bancaire la qualité pour recourir contre la remise à l’Etat requérant d’informations relatives à ce compte (v. art. 80h let. b EIMP; ATF 137 IV 134 consid. 5.2.1; 130 II 162 consid. 1.1; 118 Ib 547 consid. 1d). Outre les personnes mentionnées à l'art. 9a OEIMP, la personne entendue à titre d’inculpé à l’étranger jouit sans restriction de la qualité pour recourir (arrêts du Tribunal pénal fédéral RR.2015.173 du</w:t>
      </w:r>
    </w:p>
    <w:p>
      <w:r>
        <w:rPr>
          <w:b/>
        </w:rPr>
        <w:t>E. 1.5</w:t>
      </w:r>
    </w:p>
    <w:p>
      <w:r>
        <w:t>Interjeté dans le délai légal de 30 jours (art. 80k EIMP) par une personne disposant de la qualité pour recourir (art. 80h let. b EIMP), le recours est recevable et il y a, dès lors, lieu d’entrer en matière.</w:t>
      </w:r>
    </w:p>
    <w:p>
      <w:r>
        <w:rPr>
          <w:b/>
        </w:rPr>
        <w:t>E. 2</w:t>
      </w:r>
    </w:p>
    <w:p>
      <w:r>
        <w:t>Dans un premier grief, le recourant soulève l’incompétence répressive de l’autorité requérante. La demande d’entraide du 23 avril 2021 aurait dû être formulée par la Cour d’appel de Rouen et non pas par un Procureur adjoint d’un Tribunal judiciaire, en l’espèce par le Tribunal judiciaire du Havre. Selon lui, le procureur requérant l’entraide n’était pas compétent pour le faire. Ce qui entraîne la nullité de la décision attaquée.</w:t>
      </w:r>
    </w:p>
    <w:p>
      <w:r>
        <w:rPr>
          <w:b/>
        </w:rPr>
        <w:t>E. 2.1</w:t>
      </w:r>
    </w:p>
    <w:p>
      <w:r>
        <w:t>La coopération n’est pas accordée si l’Etat requérant ne dispose pas de la compétence pour réprimer les délits imputés aux personnes poursuivies. Ce motif d’exclusion découle aussi de l’art. 1 par. 1 CEEJ a contrario, qui subordonne la coopération à l’existence d’une compétence répressive en faveur des autorités judiciaires de l’Etat requérant. La Suisse ne refuse sa coopération que si la compétence des autorités étrangères fait clairement défaut, au point de rendre abusive la demande. Pour le surplus, il n’appartient pas à l’autorité d’exécution d’examiner la compétence procédurale de l’autorité étrangère, ni de résoudre un éventuel conflit entre les autorités de l’Etat requérant (ZIMMERMANN, La coopération judiciaire internationale en matière pénale, 5e éd. 2019, n° 658). Dès lors qu’elle s’examine au regard des règles de droit interne de l’Etat requérant, la compétence des autorités répressives de cet Etat est en général présumée (ATF 132 II 178 consid. 5.2).</w:t>
      </w:r>
    </w:p>
    <w:p>
      <w:r>
        <w:rPr>
          <w:b/>
        </w:rPr>
        <w:t>E. 2.2</w:t>
      </w:r>
    </w:p>
    <w:p>
      <w:r>
        <w:t>Dans le cas d’espèce, rien ne permet aux autorités suisses de douter de la compétence de l’autorité requérante. La demande d’entraide, présentée par ailleurs conformément aux voies et dans les formes requises par les conventions internationales régissant l’entraide, émane d’une autorité pénale chargée d’une enquête pénale contre le recourant. En effet, contrairement aux dires de celui-ci, la requête litigieuse a été présentée par</w:t>
      </w:r>
    </w:p>
    <w:p>
      <w:r>
        <w:t>- 6 -</w:t>
      </w:r>
    </w:p>
    <w:p>
      <w:r>
        <w:t>la Cour d’appel de Rouen (MP-VS, act. 1), autorité française compétente pour transmettre une demande d’entraide. En tous les cas, il n’appartient pas au juge de l’entraide de vérifier s’il existe des conflits ou des incompétences procédurales entre les autorités de poursuite étrangères. Le recourant ne prétend d’ailleurs pas que la compétence des autorités étrangères ferait clairement défaut au point de rendre abusive la demande. Quoi qu’il en soit, il appartiendra au recourant de soulever ce grief devant les autorités françaises compétentes.</w:t>
      </w:r>
    </w:p>
    <w:p>
      <w:r>
        <w:rPr>
          <w:b/>
        </w:rPr>
        <w:t>E. 2.3</w:t>
      </w:r>
    </w:p>
    <w:p>
      <w:r>
        <w:t>Manifestement mal fondé, ce grief doit être écarté.</w:t>
      </w:r>
    </w:p>
    <w:p>
      <w:r>
        <w:rPr>
          <w:b/>
        </w:rPr>
        <w:t>E. 3</w:t>
      </w:r>
    </w:p>
    <w:p>
      <w:r>
        <w:t>Dans un deuxième grief, le recourant se plaint d’un vice de procédure dans l’exécution de la demande d’entraide. Il n’aurait pas eu notification des droits prévus par le droit français avant son audition en Suisse. Seulement ses droits d’après le droit suisse lui auraient été notifiés. Son droit de quitter les locaux de police à tout moment ne lui aurait également pas été notifié. Selon le recourant, l’audition ne serait par conséquent pas valable.</w:t>
      </w:r>
    </w:p>
    <w:p>
      <w:r>
        <w:rPr>
          <w:b/>
        </w:rPr>
        <w:t>E. 3.1</w:t>
      </w:r>
    </w:p>
    <w:p>
      <w:r>
        <w:t>En règle générale, l’exécution des mesures requises pour la coopération internationale se fait selon les formes et la procédure de l’Etat requis. Pour la procédure en Suisse, s’appliquent l’EIMP et l’OEIMP (ZIMMERMANN, op. cit., n° 272). C’est conformément à ce principe que l’autorité d’exécution a procédé à l’audition du recourant. De ce fait, il a été entendu en tant que prévenu aux sens de l’art. 157 et ss du Code de procédure pénale Suisse (CPP; RS 312.0), cela d’autant plus que l’autorité française n’a pas formulé des exigences particulières de forme. C’est ainsi à raison que l’autorité d’exécution s’est limitée, comme elle devait le faire, à informer la personne auditionnée qu’elle l’était en tant que prévenue au sens du CPP. Ce rappel a été fait tant lors de l’audition du 16 juin 2021 (dossier du MP-VS, p. 43) que lors de celle du 27 juillet 2021, en présence de son conseil (dossier du MP- VS, p. 61). Lors de ces auditions, les droits du recourant ont valablement été rappelés à l’intéressé. Il a décidé de répondre aux questions. Il s’ensuit que l’audition a été valablement effectuée selon le droit suisse et, dès lors, les procès-verbaux et leurs annexes peuvent être transmis aux autorités requérantes.</w:t>
      </w:r>
    </w:p>
    <w:p>
      <w:r>
        <w:t>Le recourant aura tout loisir, s’il l’estime nécessaire, de faire valoir d’éventuels vices de forme selon le droit français directement auprès des autorités de l’Etat requérant.</w:t>
      </w:r>
    </w:p>
    <w:p>
      <w:r>
        <w:rPr>
          <w:b/>
        </w:rPr>
        <w:t>E. 3.2</w:t>
      </w:r>
    </w:p>
    <w:p>
      <w:r>
        <w:t>Mal fondé, le grief doit être rejeté.</w:t>
      </w:r>
    </w:p>
    <w:p>
      <w:r>
        <w:t>- 7 -</w:t>
      </w:r>
    </w:p>
    <w:p>
      <w:r>
        <w:rPr>
          <w:b/>
        </w:rPr>
        <w:t>E. 4</w:t>
      </w:r>
    </w:p>
    <w:p>
      <w:r>
        <w:t>Dans un dernier grief, le recourant s’oppose à l’entraide en invoquant la violation du principe de la proportionnalité. Certaines questions posées à la demande des autorités françaises dépasseraient le cadre d’une enquête limitée aux infractions d’abus de confiance, banqueroute par dirigeant d’entreprise et abus de biens sociaux. Ne devraient, en tous les cas, pas être transmises les réponses aux questions 10 à 17 et 93 à 97 car elles sont relatives à la situation personnelle de son épouse ainsi que les réponses aux questions 99 à 100 en lien avec le logement de rue Z. et les réponses aux questions 101 à 103 relatives à une connaissance de son épouse. Les réponses aux questions 57 à 58 concernant la « Facturation H. » ne devraient pas non plus être transmises puisqu’elles relèveraient d’une infraction de fausse facturation, infraction non mentionnée dans la demande d’entraide. Les réponses aux questions 80 à 86 afférentes aux véhicules de luxe ne seraient également pas pertinentes pour l’enquête. Le recourant se plaint également de n’avoir pas eu un accès complet au dossier français.</w:t>
      </w:r>
    </w:p>
    <w:p>
      <w:r>
        <w:rPr>
          <w:b/>
        </w:rPr>
        <w:t>E. 4.1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4.2</w:t>
      </w:r>
    </w:p>
    <w:p>
      <w:r>
        <w:t>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w:t>
      </w:r>
    </w:p>
    <w:p>
      <w:r>
        <w:t>- 8 -</w:t>
      </w:r>
    </w:p>
    <w:p>
      <w:r>
        <w:t>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références citées; ZIMMERMANN, op. cit., n° 723, p. 798 ss).</w:t>
      </w:r>
    </w:p>
    <w:p>
      <w:r>
        <w:rPr>
          <w:b/>
        </w:rPr>
        <w:t>E. 4.3</w:t>
      </w:r>
    </w:p>
    <w:p>
      <w:r>
        <w:t>Lorsqu'il s'agit de demandes relatives à des informations financières ou bancaires, il convient en principe de transmettre tous les documents et informations qui peuvent faire référence au soupçon exposé dans la demande d'entraide. Il doit toutefois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w:t>
      </w:r>
    </w:p>
    <w:p>
      <w:r>
        <w:rPr>
          <w:b/>
        </w:rPr>
        <w:t>E. 4.4</w:t>
      </w:r>
    </w:p>
    <w:p>
      <w:r>
        <w:t>Dans le cas d’espèce, il ressort de la requête d’entraide que le recourant est suspecté d’avoir commis des délits de banqueroute en s’abstenant de tenir la comptabilité de plusieurs sociétés alors qu’il en était gérant (supra let. B). Il aurait également utilisé à des fins personnelles ou pour favoriser d’autres sociétés les biens des sociétés victimes (dossier du MP-VS, p. 1). Il aurait par ailleurs détourné, le 16 mars 1016, au préjudice de la société F., des biens, à savoir quatre camions de marque Daf pour un montant de EUR 88'911.--, qui lui avaient été remis à charge pour lui de les restituer à la fin de la location. Le 17 juin 2016, il aurait détourné au préjudice de la société G. un camion de marque Daf pour un montant de EUR 38'310.-- , qui lui avait été remis à charge pour lui de le restituer à la fin de la location. Il aurait</w:t>
      </w:r>
    </w:p>
    <w:p>
      <w:r>
        <w:t>- 9 -</w:t>
      </w:r>
    </w:p>
    <w:p>
      <w:r>
        <w:t>également détourné au préjudice de la société E. un camion Volvo pour un montant de EUR 130'279.--, qui lui avait été remis à charge pour lui de le restituer à la fin de la location. Selon la demande d’entraide, il aurait globalement soustrait aux sociétés victimes la somme de EUR 598'691.--. Cela étant, au vu de de la nature des infractions instruites et des sommes soustraites, il est compréhensible que l’autorité requérante veuille retracer les contours financiers de cette affaire. Cela notamment afin de suivre les flux des sommes détournées, déterminer les responsabilités pénales, et, le cas échéant, confisquer le produit des infractions ou les valeurs de remplacement. Il est ainsi parfaitement conforme au principe de la proportionnalité de transmettre toutes les réponses aux questions posées lors des auditions. Aussi, il est tout à fait compréhensible que les autorités françaises s’intéressent à la situation personnelle de l’épouse du recourant et ses relations ainsi que celles relatives au logement de rue Z. Ces informations pourraient fournir des éléments d’enquête utiles à déterminer d’éventuelles tierces personnes qui auraient bénéficié des fonds soustraits ou leur destination finale. Il est ainsi normal que l’autorité étrangère s’intéresse également à l’épisode de la « Facturation H. »; peu importe si un tel épisode n’est pas directement mentionné dans la requête. Eu égard à la typologie et à la fréquence des actes de détournement reprochés, il n’est pas non plus exclu que ces informations ne puissent contribuer à éclaircir ou à révéler des faits nouveaux. De ce fait, cette information est sans doute potentiellement utile à l’instruction française. Le recourant se méprend également en prétendant que les réponses aux questions relatives aux véhicules de luxe ne seraient pas pertinentes à l’enquête. Il n’est pas exclu que ces véhicules puissent avoir été achetés avec l’argent soustrait, voire avoir été illicitement soustraits ou, en fin de procédure, ne puissent faire l’objet de confiscation.</w:t>
      </w:r>
    </w:p>
    <w:p>
      <w:r>
        <w:t>En ce qui concerne la question de l’accès au dossier français, le recourant doit être renvoyé au juge du fond.</w:t>
      </w:r>
    </w:p>
    <w:p>
      <w:r>
        <w:rPr>
          <w:b/>
        </w:rPr>
        <w:t>E. 4.5</w:t>
      </w:r>
    </w:p>
    <w:p>
      <w:r>
        <w:t>Au vu de ce qui précède, manifestement infondé, ce grief doit également être écarté.</w:t>
      </w:r>
    </w:p>
    <w:p>
      <w:r>
        <w:rPr>
          <w:b/>
        </w:rPr>
        <w:t>E. 5</w:t>
      </w:r>
    </w:p>
    <w:p>
      <w:r>
        <w:t>Au vu de l'ensemble de considérations qui précèdent, le recours est rejeté.</w:t>
      </w:r>
    </w:p>
    <w:p>
      <w:r>
        <w:rPr>
          <w:b/>
        </w:rPr>
        <w:t>E. 6</w:t>
      </w:r>
    </w:p>
    <w:p>
      <w:r>
        <w:t>En règle générale, les frais de procédure comprenant l'émolument d'arrêt, les émoluments de chancellerie et les débours sont mis à la charge de la partie qui succombe (art. 63 al. 1 PA, applicable par renvoi de l'art. 39 LOAP). En tant que partie qui succombe, le recourant doit supporter les frais du</w:t>
      </w:r>
    </w:p>
    <w:p>
      <w:r>
        <w:t>- 10 -</w:t>
      </w:r>
    </w:p>
    <w:p>
      <w:r>
        <w:t>présent arrêt, lesquels sont fixés à CHF 5’000.-- (v. art. 73 al. 2 LOAP, art. 8 al. 3 let. b du règlement du Tribunal pénal fédéral sur les frais, émoluments, dépens, et indemnités de la procédure pénale fédérale [RFPPF; RS 173.713.162] et art. 63 al. 4bis let. b PA), montant couvert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