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RR.2021.222 vom 12. November 2021</w:t>
      </w:r>
    </w:p>
    <w:p>
      <w:r>
        <w:t>Bundesstrafgericht, 2021-11-12, IT</w:t>
      </w:r>
    </w:p>
    <w:p>
      <w:r>
        <w:rPr>
          <w:b/>
        </w:rPr>
        <w:t xml:space="preserve">Quelle: </w:t>
      </w:r>
      <w:r>
        <w:t>https://mcp.opencaselaw.ch/entscheid/bstger_RR.2021.222</w:t>
      </w:r>
    </w:p>
    <w:p>
      <w:r>
        <w:t>FR: TPF RR.2021.222 du 12 novembre 2021</w:t>
      </w:r>
    </w:p>
    <w:p>
      <w:r>
        <w:t>IT: TPF RR.2021.222 del 12 novembre 2021</w:t>
      </w:r>
    </w:p>
    <w:p>
      <w:pPr>
        <w:pStyle w:val="Heading2"/>
      </w:pPr>
      <w:r>
        <w:t>Regeste</w:t>
      </w:r>
    </w:p>
    <w:p>
      <w:r>
        <w:t>Assistenza giudiziaria internazionale in materia penale all'Italia; decisione di estradizione (art. 55 AIMP); assistenza giudiziaria gratuita (art. 65 PA)</w:t>
      </w:r>
    </w:p>
    <w:p>
      <w:pPr>
        <w:pStyle w:val="Heading2"/>
      </w:pPr>
      <w:r>
        <w:t>Erwägungen</w:t>
      </w:r>
    </w:p>
    <w:p>
      <w:r>
        <w:rPr>
          <w:b/>
        </w:rPr>
        <w:t>E. 1.1</w:t>
      </w:r>
    </w:p>
    <w:p>
      <w:r>
        <w:t>In virtù degli art. 55 cpv. 3 e 25 cpv. 1 della legge federale sull'assistenza giudi- ziaria internazionale in materia penale (AIMP; RS 351.1) e dell'art. 37 cpv. 2 lett. a n. 1 della legge federale sull'organizzazione delle autorità penali della Confederazione (LOAP; RS 173.71), la Corte dei reclami penali è competente per statuire sui ricorsi contro le decisioni d'estradizione. Interposto entro 30 giorni dalla notificazione scritta della decisione d'estradizione (art. 50 cpv. 1 della legge federale sulla procedura amministrativa del 20 dicembre 1968 [PA; RS 172.021], applicabile in virtù del rinvio previsto all'art. 39 cpv. 2 lett. b LOAP),</w:t>
      </w:r>
    </w:p>
    <w:p>
      <w:r>
        <w:t>- 4 -</w:t>
      </w:r>
    </w:p>
    <w:p>
      <w:r>
        <w:t>il ricorso è tempestivo. In qualità di estradando il ricorrente è manifestamente legittimato a ricorrere (v. art. 21 cpv. 3 AIMP; DTF 122 II 373 consid. 1b e rinvii).</w:t>
      </w:r>
    </w:p>
    <w:p>
      <w:r>
        <w:rPr>
          <w:b/>
        </w:rPr>
        <w:t>E. 1.2</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bi- laterali”, 8.1 Allegato A; https://www.admin.ch/opc/it/european-union/internatio- nal-agreements/008.html) unitamente alla Decisione 2007/533/GAI del Consi- glio, del 12 giugno 2007, applicabile dal 9 aprile 2013, sull’istituzione, l’esercizio e l’uso del sistema di informazione Schengen di seconda generazione (SIS II), segnatamente gli art. 26-31 (n° CELEX 32007D0533; Gazzetta ufficiale dell’Unione europea L 205 del 7 agosto 2007, pag. 63-84; “Raccolta dei testi giuridici riguardanti gli accordi bilaterali”, 8.4 Sviluppi dell’acquis di Schengen), così come, a partire dal 5 novembre 2019, le disposizioni della Convenzione del 27 settembre 1996 relativa all’estradizione tra gli Stati membri dell’Unione eu- ropea (Convenzione sull’estradizione UE; n° CELEX 41996A1023(02); Gaz- zetta ufficiale dell’Unione europea C 313 del 23 ottobre 1996, pag. 12-23, “Rac- colta dei testi giuridici riguardanti gli accordi bilaterali”, 8.2 Allegato B) che in applicazione della Decisione 2003/169/GAI del Consiglio, del 27 febbraio 2003 (n° CELEX 32003D0169; Gazzetta ufficiale dell’Unione europea L 67 del 12 marzo 2003, pag. 25 e seg., “Raccolta dei testi giuridici riguardanti gli accordi bilaterali”, 8.2 Allegato B) costituiscono uno sviluppo dell’acquis di Schengen (ovvero gli art. 2, 6, 8, 9 e 13 nonché l’art. 1, per quanto pertinente agli altri articoli). Restano impregiudicate disposizioni più favorevoli all’assistenza in vi- gore tra le parti (art. 59 n. 2 CAS; art. 1 n. 2 Convenzione sull’estradizione UE).</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w:t>
      </w:r>
    </w:p>
    <w:p>
      <w:r>
        <w:t>- 5 -</w:t>
      </w:r>
    </w:p>
    <w:p>
      <w:r>
        <w:t>(OAIMP;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135 IV 212 consid. 2.3; 123 II 595 consid. 7c; TPF 2008 24 consid. 1.1).</w:t>
      </w:r>
    </w:p>
    <w:p>
      <w:r>
        <w:rPr>
          <w:b/>
        </w:rPr>
        <w:t>E. 2</w:t>
      </w:r>
    </w:p>
    <w:p>
      <w:r>
        <w:t>Il ricorrente si lamenta innanzitutto delle precarie condizioni detentive in Italia, sostenendo che le stesse sarebbero disumane e contrarie all’art. 3 CEDU, ciò che sarebbe segnatamente dimostrato dall’alto tasso di suicidi e dal sovraffol- lamento delle carceri. L’UFG non avrebbe del resto richiesto nessuna garanzia formale all’Italia circa il rispetto della summenzionata disposizione. Egli ritiene inoltre che i suoi diritti procedurali necessari alla sua difesa non sarebbero stati sufficientemente garantiti in Italia. L’autorità estera non avrebbe in particolare assunto le prove da lui richieste, ciò che avrebbe portato alla sua ingiusta con- danna.</w:t>
      </w:r>
    </w:p>
    <w:p>
      <w:r>
        <w:rPr>
          <w:b/>
        </w:rPr>
        <w:t>E. 2.1.1</w:t>
      </w:r>
    </w:p>
    <w:p>
      <w:r>
        <w:t>Secondo l'art. 2 AIMP, la domanda di cooperazione in materia penale è irrice- vibile se vi è motivo di credere che il procedimento all'estero non corrisponda ai principi procedurali della CEDU o del Patto ONU II (lett. a) o presenti altre gravi deficienze (lett. d). Tale disposizione ha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 appartenenti all'ordine pubblico internazionale (DTF 123 II 161 consid. 6a; 122 II 140 consid. 5a). Ciò è di particolare importanza nelle procedure di estradizione, ma vale di principio ugualmente per le altre forme di assistenza (DTF 130 II 217 consid. 8.1; 129 II 268 consid. 6.1; TPF 2010 56 cosid. 6.3.2). L'esame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 dipendenza e l'imparzialità del potere giudiziario. Il giudice dell'assistenza deve dar prova a tal proposito di una prudenza particolare (DTF 130 II 217 consid. 8.1). Non è sufficiente che l'imputato nel procedimento estero dichiari che i suoi diritti sarebbero violati dalle condizioni politiche o giuridiche generali dello Stato richiedente. Egli deve piuttosto dimostrare in modo credibile che esiste un ri- schio oggettivo e serio di una grave violazione dei diritti umani nello Stato ri- chiedente, suscettibile di toccarlo in maniera concreta (DTF 130 II 217 consid. 8.1; 129 II 268 consid. 6.1 con rinvii). Il rispetto delle garanzie procedurali vale per tutti gli aspetti legati ad un processo equo, segnatamente la parità delle armi, il diritto di essere sentito nonché la presunzione d'innocenza. Su tali punti,</w:t>
      </w:r>
    </w:p>
    <w:p>
      <w:r>
        <w:t>- 6 -</w:t>
      </w:r>
    </w:p>
    <w:p>
      <w:r>
        <w:t>tuttavia, solo delle circostanze chiare e appurate costituiscono motivo di rifiuto della cooperazione (v. sentenza del Tribunale federale 1A.54/1994 del 27 aprile 1994 consid. 2a; ZIMMERMANN, op. cit., n. 683 e rinvii).</w:t>
      </w:r>
    </w:p>
    <w:p>
      <w:r>
        <w:rPr>
          <w:b/>
        </w:rPr>
        <w:t>E. 2.1.2</w:t>
      </w:r>
    </w:p>
    <w:p>
      <w:r>
        <w:t>Le incertezze sulla situazione generale dei diritti umani nello Stato richiedente non giustificano ancora il rifiuto dell'assistenza, la quale può essere concessa richiedendo all’autorità estera di fornire delle garanzie (DTF 123 II 161 consid. 6; TPF 2010 56 consid. 6.3.2). Per sapere in quali casi si debbano ottenere garanzie dallo Stato richiedente, il Tribunale federale ha proceduto a una sud- divisione tripartita della casistica in relazione alle estradizioni (DTF 134 IV 156 consid. 6), la quale si applica anche nell'ambito della piccola assistenza (TPF 2010 56 consid. 6.3.2). Nella prima categoria figurano i casi concernenti i Paesi con una provata cultura dello Stato di diritto – in particolare i Paesi occidentali – i quali, dal punto di vista dell'art. 3 CEDU, non presentano di regola nessun rischio per le persone perseguite. In questi casi l'assistenza viene concessa senza pretendere garanzie. Nella seconda categoria sono invece compresi i casi riguardanti quegli Stati nei quali vi sono seri rischi che la persona perse- guita possa subire maltrattamenti proibiti; in tali casi il rischio è contrastato o minimizzato mediante garanzie fornite dallo Stato richiedente, in modo che lo stesso rimanga solo teorico. Un tale rischio teorico di trattamenti contrari ai diritti umani, in quanto sempre presente, non è sufficiente per rifiutare l'assistenza. In caso contrario, le misure di assistenza internazionale non sarebbero più possi- bili, questo a vantaggio dei criminali. Vi è infine una terza categoria, nella quale il rischio di trattamenti contrari ai diritti umani non può, neanche con l'ausilio di garanzie diplomatiche, né essere minimizzato né essere reso solamente teorico (v. DTF 134 IV 156 consid. 6.7). Determinare in quale categoria un caso debba essere inserito implica una valutazione dei rischi nel Paese in esame. È innan- zitutto necessario procedere all'analisi della situazione dei diritti umani in gene- rale nello Stato richiedente. In seguito – ed è questo il criterio più importante –, occorre verificare se la persona perseguita, nella fattispecie e tenuto conto di circostanze particolari e reali, rischia di essere esposta a pericoli concreti (DTF 134 IV 156 consid. 6.8).</w:t>
      </w:r>
    </w:p>
    <w:p>
      <w:r>
        <w:rPr>
          <w:b/>
        </w:rPr>
        <w:t>E. 2.2.1</w:t>
      </w:r>
    </w:p>
    <w:p>
      <w:r>
        <w:t>In concreto, va rilevato che dopo la sentenza Torreggiani, con la quale la Corte europea dei diritti dell’uomo ha condannato nel 2013 l’Italia per violazione dell’art. 3 CEDU (v. sentenza della Corte europea dei diritti dell’uomo nella causa Torreggiani e altri contro Italia dell’8 gennaio 2013, n. 43517/09), il Tri- bunale federale si è di nuovo chinato di recente sulla questione di sapere se le condizioni detentive nelle carceri italiane siano d’impedimento all’estradizione. L’Alta Corte è giunta alla conclusione che, tenuto conto delle numerose riforme adottate dall’Italia per ridurre il sovraffollamento delle carceri, l’estradizione a tale Paese non è soggetta a garanzie (v. sentenze del Tribunale federale 1C_169/2021 del 6 maggio 2021 consid. 2.3; 1C_261/2019 del 21 maggio 2019</w:t>
      </w:r>
    </w:p>
    <w:p>
      <w:r>
        <w:t>- 7 -</w:t>
      </w:r>
    </w:p>
    <w:p>
      <w:r>
        <w:t>consid. 1.2 con rinvii). Nel valutare il rischio di un trattamento incompatibile con l’art. 3 CEDU nello Stato di destinazione, occorre anche tenere conto del fatto che tale Stato è parte alla CEDU e dispone delle relative vie ricorsuali (v. sen- tenza della Corte europea dei diritti dell’uomo nella causa Kaplan contro Ger- mania del 15 dicembre 2009, n. 43212/05). Il Tribunale federale ha concluso che, anche tenendo conto dell’attuale pandemia legata al Covid-19, non vi è motivo per modificare la giurisprudenza in vigore (v. sentenza 1C_169/2021 consid. 2.3 in fine). Visto quanto precede, la censura in questo ambito va disat- tesa.</w:t>
      </w:r>
    </w:p>
    <w:p>
      <w:r>
        <w:rPr>
          <w:b/>
        </w:rPr>
        <w:t>E. 2.2.2</w:t>
      </w:r>
    </w:p>
    <w:p>
      <w:r>
        <w:t>Per quanto riguarda le critiche al procedimento estero, si rileva che il ricorrente, sempre difeso da un legale di fiducia, ha potuto far valere le proprie censure dinanzi a due istanze di ricorso per quanto riguarda la prima procedura e dinanzi a un’istanza di ricorso per quanto concerne la seconda procedura. La Corte d’appello di Torino ha in entrambi i casi parzialmente confermato le sentenze di primo grado, mentre la Suprema Corte di Cassazione ha dichiarato inammissi- bile il ricorso presentato dall’estradando in occasione della prima condanna (v. supra Fatti lett. A). Nessuna delle autorità adite ha ravvisato violazioni dei diritti della difesa o altri vizi procedurali o materiali (v. act. 5.1) e non vi è nessun motivo per scostarsi dalle predette constatazioni del giudice estero, contro le quali il ricorrente si limita a contestare il merito delle sentenze, senza allegare violazioni procedurali sindacabili da parte del giudice dell’assistenza.</w:t>
      </w:r>
    </w:p>
    <w:p>
      <w:r>
        <w:rPr>
          <w:b/>
        </w:rPr>
        <w:t>E. 3</w:t>
      </w:r>
    </w:p>
    <w:p>
      <w:r>
        <w:t>Ribadendo le censure sopra esposte, il ricorrente afferma che poter scontare la pena in Svizzera renderebbe meno pesante la condanna ingiustamente subita, permettendogli di effettuare il suo percorso di reinserimento sociale con mag- giore successo.</w:t>
      </w:r>
    </w:p>
    <w:p>
      <w:r>
        <w:rPr>
          <w:b/>
        </w:rPr>
        <w:t>E. 3.1</w:t>
      </w:r>
    </w:p>
    <w:p>
      <w:r>
        <w:t>Secondo l'art. 37 cpv. 1 AIMP l'estradizione può essere negata se la Svizzera può assumere il perseguimento del reato o l'esecuzione della decisione penale straniera e ciò sembra opportuno riguardo al reinserimento sociale della per- sona perseguita. Tuttavia la Svizzera può assumere il perseguimento di un reato commesso all'estero o l'esecuzione di una sentenza unicamente quando lo Stato in cui il reato è stato commesso domanda espressamente allo Stato richiesto di esercitare al suo posto il potere repressivo (DTF 120 Ib 120 consid. 3c; 117 Ib 210 consid. 3).</w:t>
      </w:r>
    </w:p>
    <w:p>
      <w:r>
        <w:rPr>
          <w:b/>
        </w:rPr>
        <w:t>E. 3.2</w:t>
      </w:r>
    </w:p>
    <w:p>
      <w:r>
        <w:t>In concreto, occorre rilevare che l’Italia non ha presentato nessuna richiesta alla Svizzera di assunzione del perseguimento per reati commessi dal ricorrente all'estero. Per tacere del fatto che l'art. 37 cpv. 1 AIMP non è opponibile ad uno Stato che, come l'Italia, è parte alla CEEstr, il cui testo non contiene nessuna regola analoga all'art. 37 AIMP (DTF 129 II 100 consid. 3.1; 122 II 485 consid. 3; sentenza del Tribunale federale 1A.233/2004 dell'8 novembre 2004, consid.</w:t>
      </w:r>
    </w:p>
    <w:p>
      <w:r>
        <w:t>- 8 -</w:t>
      </w:r>
    </w:p>
    <w:p>
      <w:r>
        <w:t>3.3; sentenza del Tribunale penale federale RR.2015.309 del 12 gennaio 2016 consid. 3.3). Tale censura non merita quindi ulteriore disamina.</w:t>
      </w:r>
    </w:p>
    <w:p>
      <w:r>
        <w:rPr>
          <w:b/>
        </w:rPr>
        <w:t>E. 4</w:t>
      </w:r>
    </w:p>
    <w:p>
      <w:r>
        <w:t>In conclusione, non vi è nessuna ragione per negare l'estradizione. Ne conse- gue che il ricorso deve essere integralmente respinto.</w:t>
      </w:r>
    </w:p>
    <w:p>
      <w:r>
        <w:rPr>
          <w:b/>
        </w:rPr>
        <w:t>E. 5</w:t>
      </w:r>
    </w:p>
    <w:p>
      <w:r>
        <w:t>Il ricorrente sollecita la concessione del beneficio dell'assistenza giudiziaria e del gratuito patrocinio nella persona dell'avv. Mattia Bordignon (v. act. 7, nonché RP.2021.80, act. 1).</w:t>
      </w:r>
    </w:p>
    <w:p>
      <w:r>
        <w:rPr>
          <w:b/>
        </w:rPr>
        <w:t>E. 5.1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Il Tribunale federale considera prive di probabilità di suc- cesso le conclusioni le cui prospettive di successo sono sensibilmente inferiori a quelle di insuccesso, e che di conseguenza non possono essere definite serie. Decisivo è sapere se una parte che dispone dei mezzi finanziari necessari af- fronterebbe ragionevolmente un processo: chi non è disposto ad affrontare a proprie spese un processo non deve poterlo fare soltanto perché la procedura è gratuita. L'esistenza di sufficienti probabilità di successo va giudicata somma- riamente in base alle condizioni al momento dell'introduzione della domanda (v. DTF 138 III 217 consid. 2.2.4; 133 III 614 consid. 5; sentenze del Tribunale federale 5A_264/2012 del 6 dicembre 2012 consid. 4.1; 5A_711/2011 del 21 di- cembre 2011 consid. 3.1).</w:t>
      </w:r>
    </w:p>
    <w:p>
      <w:r>
        <w:t>Dottrina e giurisprudenza concordano nel ritenere che la parte che richiede l'as- sistenza giudiziaria abbia il dovere di fornire ragguagli completi e, per quanto possibile, comprovati, sul proprio reddito, patrimonio e sull'insieme dei propri oneri finanziari. Le informazioni e i relativi mezzi di prova devono fornire un'im- magine fedele, completa e coerente della situazione finanziaria del richiedente. In caso contrario l'istanza deve essere respinta, non essendo sufficientemente sostanziato o dimostrato lo stato di indigenza (DTF 125 IV 161 consid. 4a; sen- tenze del Tribunale penale federale RP.2014.62 del 26 agosto 2014 consid. 2.1; BH.2006.6 del 18 aprile 2006 consid. 6.1; cfr. anche HARARI/JAKOB/ SANTAMARIA, Commentario romando, 2a ediz. 2019, n. 59a e 59b ad art. 132 CPP; BÜHLER, Die Prozessarmut, in C. Schöbi [ed.], Gerichtskosten, Parteikos- ten, Prozesskaution, unentgeltliche Prozessführung, 2001, pag. 189 e segg.).</w:t>
      </w:r>
    </w:p>
    <w:p>
      <w:r>
        <w:t>- 9 -</w:t>
      </w:r>
    </w:p>
    <w:p>
      <w:r>
        <w:rPr>
          <w:b/>
        </w:rPr>
        <w:t>E. 5.2</w:t>
      </w:r>
    </w:p>
    <w:p>
      <w:r>
        <w:t>Nella fattispecie, il patrocinatore del ricorrente ha trasmesso a questa Corte l’apposito formulario per la richiesta dell’assistenza giudiziaria nel quale il suo assistito ha barrato tutte le rubriche, indicando di non avere né fortuna né debiti né spese né redditi (v. RP.2021.80, act. 1.2). Egli ha dichiarato che “la situa- zione congiunturale e giudiziaria del ricorrente non gli ha permesso di trovare lavoro. Dal 2020 è quindi aiutato, per quanto nelle sue possibilità, dalla sorella che lavora in Germania. A tal fine vengono allegate le buste paga (maggio- settembre) e un estratto del contratto di lavoro della signora C., che come si vedrà, non è in grado di sobbarcarsi né l’ammontare dell’anticipo delle spese, né le spese di patrocinio. In generale, il signor A. in questi anni ha vissuto a carico delle persone a lui vicine, soggiornando presso la compagna o i parenti, e pagando le sue spese strettamente personali con l’aiuto degli stessi. Quanto a debiti il signor A. osserva di non essere a conoscenza di procedure esecutive nei suoi confronti, ma crede di avere degli scoperti nei confronti della Giustizia italiana” (RP.2021.80, act. 1, pag. 2).</w:t>
      </w:r>
    </w:p>
    <w:p>
      <w:r>
        <w:t>Ora, nel formulario è chiaramente indicato che “tutte le indicazioni concernenti la situazione finanziaria devono essere provate. I documenti ufficiali devono es- sere allegati alla domanda. I redditi devono essere giustificati da un’attestazione di salario, da una contabilità o tutt’altro documento (p. es. estratto conto). Le spese invocate (affitto, premi d’assicurazione, pensioni alimentari, imposte, rim- borso di debiti, ecc.), la loro esistenza così come i pagamenti regolari devono essere dimostrati (p. es. mediante contratto, attestazioni, fatture, ricevute). Il saldo di tutti i conti deve essere documentato” (RP.2021.80, act. 1.2, pag. 2). In concreto, il ricorrente non ha indicato nessun dato nell’apposito formulario, nemmeno l’ammontare delle sue spese. Egli non ha prodotto nessun docu- mento personale, trasmettendo unicamente delle distinte di salario e un con- tratto di lavoro concernenti la sorella C. (v. RP.2021.80, act. 1.3 e 1.4). A pre- scindere da ciò, la richiesta di assistenza giudiziaria va respinta già per la pa- lese insussistenza delle sufficienti probabilità di successo cumulativamente ri- chieste in virtù dell'art. 65 cpv. 1 PA. Le censure sollevate dal ricorrente erano infatti palesemente infondate alla luce delle disposizioni nazionali e internazio- nali in vigore in materia estradizionale, nonché dei consolidati principi giurispru- denziali che si applicano in simili fattispecie. Si osserva altresì che la nomina a difensore d’ufficio dell’avv. Bordignan intervenuta il 26 agosto 2021 da parte del Ministero pubblico ticinese (v. act. 5.5, pag. 2) non ha nessun valore pregiudi- ziale per la procedura ricorsuale. In effetti, ciò è stato accordato da parte dell'au- torità d’esecuzione nell'ambito della procedura estradizionale di fronte all’auto- rità di prime cure, la quale va distinta dalla procedura ricorsuale dinanzi alla Corte dei reclami penali del Tribunale penale federale, autorità che valuta i re- quisiti del gratuito patrocinio in virtù dell'art. 65 cpv. 1 PA, indipendentemente quindi dai requisiti di nomina del patrocinatore d'ufficio giusta l'art. 21 cpv. 1 AIMP. La richiesta di assistenza giudiziaria gratuita va quindi respinta.</w:t>
      </w:r>
    </w:p>
    <w:p>
      <w:r>
        <w:t>- 10 -</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ri- dotta nella fattispecie, tenuto conto delle presumibili difficoltà finanziarie del ri- corrente, a fr. 1'000.–.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